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B05CD" w:rsidRDefault="00AD7A83">
                <w:pPr>
                  <w:rPr>
                    <w:rFonts w:ascii="Arial (W1)" w:hAnsi="Arial (W1)"/>
                    <w:b/>
                    <w:bCs/>
                    <w:noProof w:val="0"/>
                    <w:sz w:val="28"/>
                    <w:szCs w:val="28"/>
                  </w:rPr>
                </w:pPr>
                <w:r>
                  <w:rPr>
                    <w:rFonts w:hint="cs"/>
                    <w:b/>
                    <w:bCs/>
                    <w:noProof w:val="0"/>
                    <w:sz w:val="28"/>
                    <w:rtl/>
                  </w:rPr>
                  <w:t>התובע</w:t>
                </w:r>
              </w:p>
            </w:sdtContent>
          </w:sdt>
        </w:tc>
        <w:tc>
          <w:tcPr>
            <w:tcW w:w="5571" w:type="dxa"/>
          </w:tcPr>
          <w:p w:rsidR="006816EC" w:rsidRDefault="006816EC">
            <w:pPr>
              <w:rPr>
                <w:rFonts w:ascii="Arial (W1)" w:hAnsi="Arial (W1)"/>
                <w:b/>
                <w:bCs/>
                <w:noProof w:val="0"/>
                <w:sz w:val="28"/>
                <w:szCs w:val="28"/>
                <w:rtl/>
              </w:rPr>
            </w:pPr>
          </w:p>
          <w:p w:rsidR="00D56B7D" w:rsidRDefault="00032FE0" w:rsidP="00F8253F">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8253F">
                  <w:rPr>
                    <w:rFonts w:hint="cs"/>
                    <w:b/>
                    <w:bCs/>
                    <w:noProof w:val="0"/>
                    <w:sz w:val="28"/>
                    <w:rtl/>
                  </w:rPr>
                  <w:t>מ. ל.</w:t>
                </w:r>
              </w:sdtContent>
            </w:sdt>
          </w:p>
          <w:p w:rsidR="006816EC" w:rsidRDefault="00E44DDF">
            <w:pPr>
              <w:rPr>
                <w:rFonts w:ascii="Arial (W1)" w:hAnsi="Arial (W1)"/>
                <w:b/>
                <w:bCs/>
                <w:noProof w:val="0"/>
                <w:sz w:val="28"/>
                <w:szCs w:val="28"/>
              </w:rPr>
            </w:pPr>
            <w:r w:rsidRPr="00D56B7D">
              <w:rPr>
                <w:rFonts w:ascii="Arial" w:hAnsi="Arial"/>
                <w:b/>
                <w:bCs/>
                <w:noProof w:val="0"/>
                <w:rtl/>
              </w:rPr>
              <w:t>ע"י ב"כ עוה"ד</w:t>
            </w:r>
            <w:r w:rsidR="00D56B7D" w:rsidRPr="00D56B7D">
              <w:rPr>
                <w:rFonts w:ascii="Arial" w:hAnsi="Arial" w:hint="cs"/>
                <w:b/>
                <w:bCs/>
                <w:noProof w:val="0"/>
                <w:rtl/>
              </w:rPr>
              <w:t xml:space="preserve"> שאול נפתלין</w:t>
            </w:r>
          </w:p>
        </w:tc>
      </w:tr>
      <w:tr w:rsidR="006816EC" w:rsidTr="006816EC">
        <w:trPr>
          <w:jc w:val="center"/>
        </w:trPr>
        <w:tc>
          <w:tcPr>
            <w:tcW w:w="8820" w:type="dxa"/>
            <w:gridSpan w:val="3"/>
          </w:tcPr>
          <w:p w:rsidR="006816EC" w:rsidRPr="00F8253F"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32FE0">
            <w:pPr>
              <w:rPr>
                <w:rFonts w:ascii="Arial (W1)" w:hAnsi="Arial (W1)"/>
                <w:b/>
                <w:bCs/>
                <w:noProof w:val="0"/>
                <w:sz w:val="28"/>
                <w:szCs w:val="28"/>
              </w:rPr>
            </w:pPr>
            <w:sdt>
              <w:sdtPr>
                <w:rPr>
                  <w:rFonts w:hint="cs"/>
                  <w:rtl/>
                </w:rPr>
                <w:alias w:val="1184"/>
                <w:tag w:val="1184"/>
                <w:id w:val="-910234160"/>
                <w:text w:multiLine="1"/>
              </w:sdtPr>
              <w:sdtEndPr/>
              <w:sdtContent>
                <w:r w:rsidR="00AD7A83">
                  <w:rPr>
                    <w:rFonts w:hint="cs"/>
                    <w:b/>
                    <w:bCs/>
                    <w:noProof w:val="0"/>
                    <w:sz w:val="28"/>
                    <w:rtl/>
                  </w:rPr>
                  <w:t>הנתבעת</w:t>
                </w:r>
              </w:sdtContent>
            </w:sdt>
          </w:p>
        </w:tc>
        <w:tc>
          <w:tcPr>
            <w:tcW w:w="5571" w:type="dxa"/>
          </w:tcPr>
          <w:p w:rsidR="006816EC" w:rsidRDefault="006816EC">
            <w:pPr>
              <w:rPr>
                <w:rFonts w:ascii="Arial (W1)" w:hAnsi="Arial (W1)"/>
                <w:b/>
                <w:bCs/>
                <w:noProof w:val="0"/>
                <w:sz w:val="28"/>
                <w:szCs w:val="28"/>
                <w:rtl/>
              </w:rPr>
            </w:pPr>
          </w:p>
          <w:p w:rsidR="00D56B7D" w:rsidRDefault="00032FE0" w:rsidP="00F8253F">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F8253F">
                  <w:rPr>
                    <w:rFonts w:hint="cs"/>
                    <w:b/>
                    <w:bCs/>
                    <w:noProof w:val="0"/>
                    <w:sz w:val="28"/>
                    <w:rtl/>
                  </w:rPr>
                  <w:t>ר.</w:t>
                </w:r>
                <w:r w:rsidR="00FB3C14">
                  <w:rPr>
                    <w:rFonts w:hint="cs"/>
                    <w:b/>
                    <w:bCs/>
                    <w:noProof w:val="0"/>
                    <w:sz w:val="28"/>
                    <w:rtl/>
                  </w:rPr>
                  <w:t xml:space="preserve"> ל</w:t>
                </w:r>
                <w:r w:rsidR="00F8253F">
                  <w:rPr>
                    <w:rFonts w:hint="cs"/>
                    <w:b/>
                    <w:bCs/>
                    <w:noProof w:val="0"/>
                    <w:sz w:val="28"/>
                    <w:rtl/>
                  </w:rPr>
                  <w:t>.</w:t>
                </w:r>
              </w:sdtContent>
            </w:sdt>
            <w:r w:rsidR="009C358E" w:rsidRPr="009C358E">
              <w:rPr>
                <w:rFonts w:hint="cs"/>
                <w:b/>
                <w:bCs/>
                <w:noProof w:val="0"/>
                <w:sz w:val="28"/>
                <w:rtl/>
              </w:rPr>
              <w:t xml:space="preserve"> </w:t>
            </w:r>
          </w:p>
          <w:p w:rsidR="006816EC" w:rsidRPr="00D56B7D" w:rsidRDefault="00E44DDF">
            <w:pPr>
              <w:rPr>
                <w:rFonts w:ascii="Arial (W1)" w:hAnsi="Arial (W1)"/>
                <w:b/>
                <w:bCs/>
                <w:noProof w:val="0"/>
                <w:rtl/>
              </w:rPr>
            </w:pPr>
            <w:r w:rsidRPr="00D56B7D">
              <w:rPr>
                <w:rFonts w:ascii="Arial" w:hAnsi="Arial"/>
                <w:b/>
                <w:bCs/>
                <w:noProof w:val="0"/>
                <w:rtl/>
              </w:rPr>
              <w:t>ע"י ב"כ עוה"ד</w:t>
            </w:r>
            <w:r w:rsidR="00D56B7D" w:rsidRPr="00D56B7D">
              <w:rPr>
                <w:rFonts w:ascii="Arial (W1)" w:hAnsi="Arial (W1)" w:hint="cs"/>
                <w:b/>
                <w:bCs/>
                <w:noProof w:val="0"/>
                <w:rtl/>
              </w:rPr>
              <w:t xml:space="preserve"> אבר</w:t>
            </w:r>
            <w:r w:rsidR="00252C14">
              <w:rPr>
                <w:rFonts w:ascii="Arial (W1)" w:hAnsi="Arial (W1)" w:hint="cs"/>
                <w:b/>
                <w:bCs/>
                <w:noProof w:val="0"/>
                <w:rtl/>
              </w:rPr>
              <w:t>ה</w:t>
            </w:r>
            <w:r w:rsidR="00D56B7D" w:rsidRPr="00D56B7D">
              <w:rPr>
                <w:rFonts w:ascii="Arial (W1)" w:hAnsi="Arial (W1)" w:hint="cs"/>
                <w:b/>
                <w:bCs/>
                <w:noProof w:val="0"/>
                <w:rtl/>
              </w:rPr>
              <w:t>ם אטיאס</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AB05CD" w:rsidRDefault="00AB05CD">
            <w:pPr>
              <w:rPr>
                <w:rFonts w:ascii="David" w:eastAsia="David" w:hAnsi="David"/>
                <w:noProof w:val="0"/>
              </w:rPr>
            </w:pPr>
          </w:p>
        </w:tc>
        <w:tc>
          <w:tcPr>
            <w:tcW w:w="5571" w:type="dxa"/>
          </w:tcPr>
          <w:p w:rsidR="00AB05CD" w:rsidRDefault="00AB05CD">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D7A83" w:rsidRDefault="00AD7A83" w:rsidP="009863FF">
      <w:pPr>
        <w:spacing w:line="360" w:lineRule="auto"/>
        <w:jc w:val="both"/>
        <w:rPr>
          <w:rFonts w:ascii="David" w:hAnsi="David"/>
          <w:b/>
          <w:bCs/>
          <w:rtl/>
        </w:rPr>
      </w:pPr>
      <w:r>
        <w:rPr>
          <w:rFonts w:ascii="David" w:hAnsi="David"/>
          <w:rtl/>
        </w:rPr>
        <w:t>לפני תביעת התובע (להלן: "</w:t>
      </w:r>
      <w:r>
        <w:rPr>
          <w:rFonts w:ascii="David" w:hAnsi="David"/>
          <w:b/>
          <w:bCs/>
          <w:rtl/>
        </w:rPr>
        <w:t>התובע</w:t>
      </w:r>
      <w:r>
        <w:rPr>
          <w:rFonts w:ascii="David" w:hAnsi="David"/>
          <w:rtl/>
        </w:rPr>
        <w:t>" או "</w:t>
      </w:r>
      <w:r>
        <w:rPr>
          <w:rFonts w:ascii="David" w:hAnsi="David"/>
          <w:b/>
          <w:bCs/>
          <w:rtl/>
        </w:rPr>
        <w:t>האב</w:t>
      </w:r>
      <w:r>
        <w:rPr>
          <w:rFonts w:ascii="David" w:hAnsi="David"/>
          <w:rtl/>
        </w:rPr>
        <w:t xml:space="preserve">") לפי </w:t>
      </w:r>
      <w:r w:rsidRPr="00610D08">
        <w:rPr>
          <w:rFonts w:ascii="David" w:hAnsi="David"/>
          <w:b/>
          <w:bCs/>
          <w:rtl/>
        </w:rPr>
        <w:t>חוק אמנת האג (החזרת ילדים חטופים)</w:t>
      </w:r>
      <w:r>
        <w:rPr>
          <w:rFonts w:ascii="David" w:hAnsi="David"/>
          <w:rtl/>
        </w:rPr>
        <w:t>, תשנ"א-1991, (להלן: "</w:t>
      </w:r>
      <w:r>
        <w:rPr>
          <w:rFonts w:ascii="David" w:hAnsi="David"/>
          <w:b/>
          <w:bCs/>
          <w:rtl/>
        </w:rPr>
        <w:t>חוק אמנת האג</w:t>
      </w:r>
      <w:r>
        <w:rPr>
          <w:rFonts w:ascii="David" w:hAnsi="David"/>
          <w:rtl/>
        </w:rPr>
        <w:t xml:space="preserve">"), להורות על השבת ילדיו הקטינים למקום המגורים </w:t>
      </w:r>
      <w:r w:rsidR="00610D08">
        <w:rPr>
          <w:rFonts w:ascii="David" w:hAnsi="David" w:hint="cs"/>
          <w:rtl/>
        </w:rPr>
        <w:t>הרגיל</w:t>
      </w:r>
      <w:r>
        <w:rPr>
          <w:rFonts w:ascii="David" w:hAnsi="David"/>
          <w:rtl/>
        </w:rPr>
        <w:t xml:space="preserve"> שלהם, ב</w:t>
      </w:r>
      <w:r w:rsidR="00F8253F">
        <w:rPr>
          <w:rFonts w:ascii="David" w:hAnsi="David"/>
          <w:rtl/>
        </w:rPr>
        <w:t>...</w:t>
      </w:r>
      <w:r>
        <w:rPr>
          <w:rFonts w:ascii="David" w:hAnsi="David"/>
          <w:rtl/>
        </w:rPr>
        <w:t>. הנתבעת (להלן: "</w:t>
      </w:r>
      <w:r>
        <w:rPr>
          <w:rFonts w:ascii="David" w:hAnsi="David"/>
          <w:b/>
          <w:bCs/>
          <w:rtl/>
        </w:rPr>
        <w:t>הנתבעת</w:t>
      </w:r>
      <w:r>
        <w:rPr>
          <w:rFonts w:ascii="David" w:hAnsi="David"/>
          <w:rtl/>
        </w:rPr>
        <w:t>" או "</w:t>
      </w:r>
      <w:r>
        <w:rPr>
          <w:rFonts w:ascii="David" w:hAnsi="David"/>
          <w:b/>
          <w:bCs/>
          <w:rtl/>
        </w:rPr>
        <w:t>האם</w:t>
      </w:r>
      <w:r>
        <w:rPr>
          <w:rFonts w:ascii="David" w:hAnsi="David"/>
          <w:rtl/>
        </w:rPr>
        <w:t>") עותרת להורות על דחיית התביעה וטוענת כי לא מתקיימים התנאים להחזרת הקטינים ל</w:t>
      </w:r>
      <w:r w:rsidR="00F8253F">
        <w:rPr>
          <w:rFonts w:ascii="David" w:hAnsi="David"/>
          <w:rtl/>
        </w:rPr>
        <w:t>...</w:t>
      </w:r>
      <w:r>
        <w:rPr>
          <w:rFonts w:ascii="David" w:hAnsi="David"/>
          <w:rtl/>
        </w:rPr>
        <w:t>, בהתאם לתנאי האמנה.</w:t>
      </w:r>
    </w:p>
    <w:p w:rsidR="00AD7A83" w:rsidRDefault="00AD7A83" w:rsidP="009863FF">
      <w:pPr>
        <w:spacing w:line="360" w:lineRule="auto"/>
        <w:jc w:val="both"/>
        <w:rPr>
          <w:rFonts w:ascii="David" w:hAnsi="David"/>
          <w:b/>
          <w:bCs/>
          <w:u w:val="single"/>
          <w:rtl/>
        </w:rPr>
      </w:pPr>
    </w:p>
    <w:p w:rsidR="00AD7A83" w:rsidRDefault="00AD7A83" w:rsidP="009863FF">
      <w:pPr>
        <w:spacing w:line="360" w:lineRule="auto"/>
        <w:jc w:val="both"/>
        <w:rPr>
          <w:rFonts w:ascii="David" w:hAnsi="David"/>
          <w:b/>
          <w:bCs/>
          <w:u w:val="single"/>
          <w:rtl/>
        </w:rPr>
      </w:pPr>
      <w:r>
        <w:rPr>
          <w:rFonts w:ascii="David" w:hAnsi="David"/>
          <w:b/>
          <w:bCs/>
          <w:u w:val="single"/>
          <w:rtl/>
        </w:rPr>
        <w:t>רקע עובדתי והשתלשלות ההליכים</w:t>
      </w:r>
    </w:p>
    <w:p w:rsidR="00AD7A83" w:rsidRDefault="00AD7A83" w:rsidP="009863FF">
      <w:pPr>
        <w:pStyle w:val="ad"/>
        <w:numPr>
          <w:ilvl w:val="0"/>
          <w:numId w:val="1"/>
        </w:numPr>
        <w:spacing w:after="0" w:line="360" w:lineRule="auto"/>
        <w:jc w:val="both"/>
        <w:rPr>
          <w:rFonts w:ascii="David" w:hAnsi="David" w:cs="David"/>
          <w:b/>
          <w:bCs/>
          <w:sz w:val="24"/>
          <w:szCs w:val="24"/>
          <w:u w:val="single"/>
          <w:rtl/>
        </w:rPr>
      </w:pPr>
      <w:r>
        <w:rPr>
          <w:rFonts w:ascii="David" w:hAnsi="David" w:cs="David"/>
          <w:sz w:val="24"/>
          <w:szCs w:val="24"/>
          <w:rtl/>
        </w:rPr>
        <w:t>האב והאם אזרחי ישראל ו</w:t>
      </w:r>
      <w:r w:rsidR="00F8253F">
        <w:rPr>
          <w:rFonts w:ascii="David" w:hAnsi="David" w:cs="David"/>
          <w:sz w:val="24"/>
          <w:szCs w:val="24"/>
          <w:rtl/>
        </w:rPr>
        <w:t>...</w:t>
      </w:r>
      <w:r>
        <w:rPr>
          <w:rFonts w:ascii="David" w:hAnsi="David" w:cs="David"/>
          <w:sz w:val="24"/>
          <w:szCs w:val="24"/>
          <w:rtl/>
        </w:rPr>
        <w:t>, אשר מתגוררים מזה מס' שנים ב</w:t>
      </w:r>
      <w:r w:rsidR="00F8253F">
        <w:rPr>
          <w:rFonts w:ascii="David" w:hAnsi="David" w:cs="David"/>
          <w:sz w:val="24"/>
          <w:szCs w:val="24"/>
          <w:rtl/>
        </w:rPr>
        <w:t>...</w:t>
      </w:r>
      <w:r>
        <w:rPr>
          <w:rFonts w:ascii="David" w:hAnsi="David" w:cs="David"/>
          <w:sz w:val="24"/>
          <w:szCs w:val="24"/>
          <w:rtl/>
        </w:rPr>
        <w:t xml:space="preserve"> (</w:t>
      </w:r>
      <w:r w:rsidR="00610D08">
        <w:rPr>
          <w:rFonts w:ascii="David" w:hAnsi="David" w:cs="David" w:hint="cs"/>
          <w:sz w:val="24"/>
          <w:szCs w:val="24"/>
          <w:rtl/>
        </w:rPr>
        <w:t xml:space="preserve">זאת </w:t>
      </w:r>
      <w:r>
        <w:rPr>
          <w:rFonts w:ascii="David" w:hAnsi="David" w:cs="David"/>
          <w:sz w:val="24"/>
          <w:szCs w:val="24"/>
          <w:rtl/>
        </w:rPr>
        <w:t xml:space="preserve">החל משנת 2016 לערך), נשואים זל"ז ולהם 5 ילדים קטינים, שהגדולה </w:t>
      </w:r>
      <w:r w:rsidR="00610D08">
        <w:rPr>
          <w:rFonts w:ascii="David" w:hAnsi="David" w:cs="David"/>
          <w:sz w:val="24"/>
          <w:szCs w:val="24"/>
          <w:rtl/>
        </w:rPr>
        <w:t xml:space="preserve">שבהם בת כ-10.5 שנים והקטן שבהם </w:t>
      </w:r>
      <w:r>
        <w:rPr>
          <w:rFonts w:ascii="David" w:hAnsi="David" w:cs="David"/>
          <w:sz w:val="24"/>
          <w:szCs w:val="24"/>
          <w:rtl/>
        </w:rPr>
        <w:t>בן</w:t>
      </w:r>
      <w:r w:rsidR="00610D08">
        <w:rPr>
          <w:rFonts w:ascii="David" w:hAnsi="David" w:cs="David" w:hint="cs"/>
          <w:sz w:val="24"/>
          <w:szCs w:val="24"/>
          <w:rtl/>
        </w:rPr>
        <w:t xml:space="preserve"> כ-</w:t>
      </w:r>
      <w:r>
        <w:rPr>
          <w:rFonts w:ascii="David" w:hAnsi="David" w:cs="David"/>
          <w:sz w:val="24"/>
          <w:szCs w:val="24"/>
          <w:rtl/>
        </w:rPr>
        <w:t>3</w:t>
      </w:r>
      <w:r w:rsidR="00610D08">
        <w:rPr>
          <w:rFonts w:ascii="David" w:hAnsi="David" w:cs="David" w:hint="cs"/>
          <w:sz w:val="24"/>
          <w:szCs w:val="24"/>
          <w:rtl/>
        </w:rPr>
        <w:t xml:space="preserve"> שנים</w:t>
      </w:r>
      <w:r>
        <w:rPr>
          <w:rFonts w:ascii="David" w:hAnsi="David" w:cs="David"/>
          <w:sz w:val="24"/>
          <w:szCs w:val="24"/>
          <w:rtl/>
        </w:rPr>
        <w:t>.</w:t>
      </w:r>
    </w:p>
    <w:p w:rsidR="00AD7A83" w:rsidRDefault="00AD7A83" w:rsidP="009863FF">
      <w:pPr>
        <w:pStyle w:val="ad"/>
        <w:spacing w:after="0" w:line="360" w:lineRule="auto"/>
        <w:jc w:val="both"/>
        <w:rPr>
          <w:rFonts w:ascii="David" w:hAnsi="David" w:cs="David"/>
          <w:b/>
          <w:bCs/>
          <w:sz w:val="24"/>
          <w:szCs w:val="24"/>
          <w:u w:val="single"/>
        </w:rPr>
      </w:pPr>
    </w:p>
    <w:p w:rsidR="00AD7A83" w:rsidRDefault="00AD7A83" w:rsidP="009863FF">
      <w:pPr>
        <w:pStyle w:val="ad"/>
        <w:numPr>
          <w:ilvl w:val="0"/>
          <w:numId w:val="1"/>
        </w:numPr>
        <w:spacing w:after="0" w:line="360" w:lineRule="auto"/>
        <w:jc w:val="both"/>
        <w:rPr>
          <w:rFonts w:ascii="David" w:hAnsi="David" w:cs="David"/>
          <w:b/>
          <w:bCs/>
          <w:sz w:val="24"/>
          <w:szCs w:val="24"/>
          <w:u w:val="single"/>
        </w:rPr>
      </w:pPr>
      <w:r>
        <w:rPr>
          <w:rFonts w:ascii="David" w:hAnsi="David" w:cs="David"/>
          <w:sz w:val="24"/>
          <w:szCs w:val="24"/>
          <w:rtl/>
        </w:rPr>
        <w:t>על פי כתב התביעה</w:t>
      </w:r>
      <w:r w:rsidR="00610D08">
        <w:rPr>
          <w:rFonts w:ascii="David" w:hAnsi="David" w:cs="David" w:hint="cs"/>
          <w:sz w:val="24"/>
          <w:szCs w:val="24"/>
          <w:rtl/>
        </w:rPr>
        <w:t>,</w:t>
      </w:r>
      <w:r>
        <w:rPr>
          <w:rFonts w:ascii="David" w:hAnsi="David" w:cs="David"/>
          <w:sz w:val="24"/>
          <w:szCs w:val="24"/>
          <w:rtl/>
        </w:rPr>
        <w:t xml:space="preserve"> ביום 03.06.2024 הגיעו הצדדים לחתונת בני משפחה בישראל והיו אמורים לשוב חזרה ל</w:t>
      </w:r>
      <w:r w:rsidR="00F8253F">
        <w:rPr>
          <w:rFonts w:ascii="David" w:hAnsi="David" w:cs="David"/>
          <w:sz w:val="24"/>
          <w:szCs w:val="24"/>
          <w:rtl/>
        </w:rPr>
        <w:t>...</w:t>
      </w:r>
      <w:r>
        <w:rPr>
          <w:rFonts w:ascii="David" w:hAnsi="David" w:cs="David"/>
          <w:sz w:val="24"/>
          <w:szCs w:val="24"/>
          <w:rtl/>
        </w:rPr>
        <w:t xml:space="preserve"> ביום 24.06.2024.</w:t>
      </w:r>
    </w:p>
    <w:p w:rsidR="00AD7A83" w:rsidRDefault="00AD7A83" w:rsidP="009863FF">
      <w:pPr>
        <w:pStyle w:val="ad"/>
        <w:spacing w:after="0" w:line="360" w:lineRule="auto"/>
        <w:jc w:val="both"/>
        <w:rPr>
          <w:rFonts w:ascii="David" w:hAnsi="David" w:cs="David"/>
          <w:b/>
          <w:bCs/>
          <w:sz w:val="24"/>
          <w:szCs w:val="24"/>
          <w:u w:val="single"/>
        </w:rPr>
      </w:pPr>
    </w:p>
    <w:p w:rsidR="00AD7A83" w:rsidRDefault="00AD7A83" w:rsidP="009863FF">
      <w:pPr>
        <w:pStyle w:val="ad"/>
        <w:numPr>
          <w:ilvl w:val="0"/>
          <w:numId w:val="1"/>
        </w:numPr>
        <w:spacing w:after="0" w:line="360" w:lineRule="auto"/>
        <w:jc w:val="both"/>
        <w:rPr>
          <w:rFonts w:ascii="David" w:hAnsi="David" w:cs="David"/>
          <w:b/>
          <w:bCs/>
          <w:sz w:val="24"/>
          <w:szCs w:val="24"/>
          <w:u w:val="single"/>
        </w:rPr>
      </w:pPr>
      <w:r>
        <w:rPr>
          <w:rFonts w:ascii="David" w:hAnsi="David" w:cs="David"/>
          <w:sz w:val="24"/>
          <w:szCs w:val="24"/>
          <w:rtl/>
        </w:rPr>
        <w:t>ביום 10.06.2024 או בסמוך לכך הודיעה הנתבעת לתובע כי אין בכוונתה להשיב הקטינים ל</w:t>
      </w:r>
      <w:r w:rsidR="00F8253F">
        <w:rPr>
          <w:rFonts w:ascii="David" w:hAnsi="David" w:cs="David"/>
          <w:sz w:val="24"/>
          <w:szCs w:val="24"/>
          <w:rtl/>
        </w:rPr>
        <w:t>...</w:t>
      </w:r>
      <w:r>
        <w:rPr>
          <w:rFonts w:ascii="David" w:hAnsi="David" w:cs="David"/>
          <w:sz w:val="24"/>
          <w:szCs w:val="24"/>
          <w:rtl/>
        </w:rPr>
        <w:t xml:space="preserve"> וכי הגישה תביעת גירושין בישראל.</w:t>
      </w:r>
    </w:p>
    <w:p w:rsidR="00AD7A83" w:rsidRDefault="00AD7A83" w:rsidP="009863FF">
      <w:pPr>
        <w:pStyle w:val="ad"/>
        <w:spacing w:after="0" w:line="360" w:lineRule="auto"/>
        <w:jc w:val="both"/>
        <w:rPr>
          <w:rFonts w:ascii="David" w:hAnsi="David" w:cs="David"/>
          <w:b/>
          <w:bCs/>
          <w:sz w:val="24"/>
          <w:szCs w:val="24"/>
          <w:u w:val="single"/>
        </w:rPr>
      </w:pPr>
    </w:p>
    <w:p w:rsidR="00AD7A83" w:rsidRDefault="00AD7A83" w:rsidP="009863FF">
      <w:pPr>
        <w:pStyle w:val="ad"/>
        <w:numPr>
          <w:ilvl w:val="0"/>
          <w:numId w:val="1"/>
        </w:numPr>
        <w:spacing w:after="0" w:line="360" w:lineRule="auto"/>
        <w:jc w:val="both"/>
        <w:rPr>
          <w:rFonts w:ascii="David" w:hAnsi="David" w:cs="David"/>
          <w:b/>
          <w:bCs/>
          <w:sz w:val="24"/>
          <w:szCs w:val="24"/>
          <w:u w:val="single"/>
        </w:rPr>
      </w:pPr>
      <w:r>
        <w:rPr>
          <w:rFonts w:ascii="David" w:hAnsi="David" w:cs="David"/>
          <w:sz w:val="24"/>
          <w:szCs w:val="24"/>
          <w:rtl/>
        </w:rPr>
        <w:t>ביום 30.06.2024 התגרשו הצדדים בהסכמה בבית הדין הרבני בתל אביב, תוך</w:t>
      </w:r>
      <w:r w:rsidR="00610D08">
        <w:rPr>
          <w:rFonts w:ascii="David" w:hAnsi="David" w:cs="David"/>
          <w:sz w:val="24"/>
          <w:szCs w:val="24"/>
          <w:rtl/>
        </w:rPr>
        <w:t xml:space="preserve"> שבית הדין קובע בפסק דינו מאותו</w:t>
      </w:r>
      <w:r>
        <w:rPr>
          <w:rFonts w:ascii="David" w:hAnsi="David" w:cs="David"/>
          <w:sz w:val="24"/>
          <w:szCs w:val="24"/>
          <w:rtl/>
        </w:rPr>
        <w:t xml:space="preserve"> יום</w:t>
      </w:r>
      <w:r w:rsidR="00610D08">
        <w:rPr>
          <w:rFonts w:ascii="David" w:hAnsi="David" w:cs="David" w:hint="cs"/>
          <w:sz w:val="24"/>
          <w:szCs w:val="24"/>
          <w:rtl/>
        </w:rPr>
        <w:t>,</w:t>
      </w:r>
      <w:r>
        <w:rPr>
          <w:rFonts w:ascii="David" w:hAnsi="David" w:cs="David"/>
          <w:sz w:val="24"/>
          <w:szCs w:val="24"/>
          <w:rtl/>
        </w:rPr>
        <w:t xml:space="preserve"> כי הצדדים מתגרשים בהסכמה ושאר העניינים ידונו לאחר הגט (ראו: נספח 4 לכתב ההגנה).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יש לציין כי בפרוטוקול הדיון בבית הדין הרבני מאותו מועד מתועדת שיחה בין ב"כ הצדדים, כדלהלן</w:t>
      </w:r>
      <w:r>
        <w:rPr>
          <w:rFonts w:ascii="David" w:hAnsi="David" w:cs="David"/>
          <w:sz w:val="24"/>
          <w:szCs w:val="24"/>
        </w:rPr>
        <w:t>:</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spacing w:after="0" w:line="360" w:lineRule="auto"/>
        <w:ind w:left="1440"/>
        <w:jc w:val="both"/>
        <w:rPr>
          <w:rFonts w:ascii="David" w:hAnsi="David" w:cs="David"/>
          <w:b/>
          <w:bCs/>
          <w:i/>
          <w:iCs/>
          <w:sz w:val="24"/>
          <w:szCs w:val="24"/>
        </w:rPr>
      </w:pPr>
      <w:r>
        <w:rPr>
          <w:rFonts w:ascii="David" w:hAnsi="David" w:cs="David"/>
          <w:b/>
          <w:bCs/>
          <w:i/>
          <w:iCs/>
          <w:sz w:val="24"/>
          <w:szCs w:val="24"/>
          <w:rtl/>
        </w:rPr>
        <w:t>...</w:t>
      </w:r>
    </w:p>
    <w:p w:rsidR="00AD7A83" w:rsidRDefault="00AD7A83" w:rsidP="009863FF">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ב"כ הבעל: כפי שכבר אמרתי הבעל צריך לחזור עוד היום לחו"ל לכן מבוקש לביטול צו עיכוב יציאה. אנחנו מבקשים שהילדים יחזרו גם לחו"ל.</w:t>
      </w:r>
    </w:p>
    <w:p w:rsidR="00AD7A83" w:rsidRDefault="00AD7A83" w:rsidP="009863FF">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 xml:space="preserve"> </w:t>
      </w:r>
    </w:p>
    <w:p w:rsidR="00AD7A83" w:rsidRDefault="00AD7A83" w:rsidP="009863FF">
      <w:pPr>
        <w:pStyle w:val="ad"/>
        <w:spacing w:after="0" w:line="360" w:lineRule="auto"/>
        <w:ind w:firstLine="720"/>
        <w:jc w:val="both"/>
        <w:rPr>
          <w:rFonts w:ascii="David" w:hAnsi="David" w:cs="David"/>
          <w:b/>
          <w:bCs/>
          <w:i/>
          <w:iCs/>
          <w:sz w:val="24"/>
          <w:szCs w:val="24"/>
          <w:rtl/>
        </w:rPr>
      </w:pPr>
      <w:r>
        <w:rPr>
          <w:rFonts w:ascii="David" w:hAnsi="David" w:cs="David"/>
          <w:b/>
          <w:bCs/>
          <w:i/>
          <w:iCs/>
          <w:sz w:val="24"/>
          <w:szCs w:val="24"/>
          <w:rtl/>
        </w:rPr>
        <w:t xml:space="preserve">ב"כ האישה: סליחה זה לא היה הסיכום. </w:t>
      </w:r>
    </w:p>
    <w:p w:rsidR="00AD7A83" w:rsidRDefault="00AD7A83" w:rsidP="009863FF">
      <w:pPr>
        <w:pStyle w:val="ad"/>
        <w:spacing w:after="0" w:line="360" w:lineRule="auto"/>
        <w:ind w:left="1440"/>
        <w:jc w:val="both"/>
        <w:rPr>
          <w:rFonts w:ascii="David" w:hAnsi="David" w:cs="David"/>
          <w:b/>
          <w:bCs/>
          <w:i/>
          <w:iCs/>
          <w:sz w:val="24"/>
          <w:szCs w:val="24"/>
          <w:rtl/>
        </w:rPr>
      </w:pPr>
    </w:p>
    <w:p w:rsidR="00AD7A83" w:rsidRDefault="00AD7A83" w:rsidP="009863FF">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lastRenderedPageBreak/>
        <w:t xml:space="preserve">ב"כ הבעל: אני מחזיר את הדרכונים אני לא חייב זה לא כפוף, מידי אני אחראי באופן אישי להחזיר את הדרכונים לאמא. להניח את דעתם שלא יהיה חלילה וחס חשש, אני מוכן במידה ולא יוחזרו הדרכונים היום, הבעל יחויב ב 20,000$. </w:t>
      </w:r>
    </w:p>
    <w:p w:rsidR="00AD7A83" w:rsidRDefault="00AD7A83" w:rsidP="009863FF">
      <w:pPr>
        <w:pStyle w:val="ad"/>
        <w:spacing w:after="0" w:line="360" w:lineRule="auto"/>
        <w:ind w:firstLine="720"/>
        <w:jc w:val="both"/>
        <w:rPr>
          <w:rFonts w:ascii="David" w:hAnsi="David" w:cs="David"/>
          <w:b/>
          <w:bCs/>
          <w:i/>
          <w:iCs/>
          <w:sz w:val="24"/>
          <w:szCs w:val="24"/>
          <w:rtl/>
        </w:rPr>
      </w:pPr>
    </w:p>
    <w:p w:rsidR="00AD7A83" w:rsidRDefault="00AD7A83" w:rsidP="009863FF">
      <w:pPr>
        <w:pStyle w:val="ad"/>
        <w:spacing w:after="0" w:line="360" w:lineRule="auto"/>
        <w:ind w:firstLine="720"/>
        <w:jc w:val="both"/>
        <w:rPr>
          <w:rFonts w:ascii="David" w:hAnsi="David" w:cs="David"/>
          <w:b/>
          <w:bCs/>
          <w:i/>
          <w:iCs/>
          <w:sz w:val="24"/>
          <w:szCs w:val="24"/>
          <w:rtl/>
        </w:rPr>
      </w:pPr>
      <w:r>
        <w:rPr>
          <w:rFonts w:ascii="David" w:hAnsi="David" w:cs="David"/>
          <w:b/>
          <w:bCs/>
          <w:i/>
          <w:iCs/>
          <w:sz w:val="24"/>
          <w:szCs w:val="24"/>
          <w:rtl/>
        </w:rPr>
        <w:t xml:space="preserve">ביה"ד: מוסכם על כולם? </w:t>
      </w:r>
    </w:p>
    <w:p w:rsidR="00AD7A83" w:rsidRDefault="00AD7A83" w:rsidP="009863FF">
      <w:pPr>
        <w:pStyle w:val="ad"/>
        <w:spacing w:after="0" w:line="360" w:lineRule="auto"/>
        <w:ind w:firstLine="720"/>
        <w:jc w:val="both"/>
        <w:rPr>
          <w:rFonts w:ascii="David" w:hAnsi="David" w:cs="David"/>
          <w:b/>
          <w:bCs/>
          <w:i/>
          <w:iCs/>
          <w:sz w:val="24"/>
          <w:szCs w:val="24"/>
          <w:rtl/>
        </w:rPr>
      </w:pPr>
    </w:p>
    <w:p w:rsidR="00AD7A83" w:rsidRDefault="00AD7A83" w:rsidP="009863FF">
      <w:pPr>
        <w:pStyle w:val="ad"/>
        <w:spacing w:after="0" w:line="360" w:lineRule="auto"/>
        <w:ind w:firstLine="720"/>
        <w:jc w:val="both"/>
        <w:rPr>
          <w:rFonts w:ascii="David" w:hAnsi="David" w:cs="David"/>
          <w:b/>
          <w:bCs/>
          <w:i/>
          <w:iCs/>
          <w:sz w:val="24"/>
          <w:szCs w:val="24"/>
          <w:rtl/>
        </w:rPr>
      </w:pPr>
      <w:r>
        <w:rPr>
          <w:rFonts w:ascii="David" w:hAnsi="David" w:cs="David"/>
          <w:b/>
          <w:bCs/>
          <w:i/>
          <w:iCs/>
          <w:sz w:val="24"/>
          <w:szCs w:val="24"/>
          <w:rtl/>
        </w:rPr>
        <w:t xml:space="preserve">ב"כ האישה: כן </w:t>
      </w:r>
    </w:p>
    <w:p w:rsidR="00AD7A83" w:rsidRDefault="00AD7A83" w:rsidP="009863FF">
      <w:pPr>
        <w:pStyle w:val="ad"/>
        <w:spacing w:after="0" w:line="360" w:lineRule="auto"/>
        <w:ind w:left="1440"/>
        <w:jc w:val="both"/>
        <w:rPr>
          <w:rFonts w:ascii="David" w:hAnsi="David" w:cs="David"/>
          <w:b/>
          <w:bCs/>
          <w:i/>
          <w:iCs/>
          <w:sz w:val="24"/>
          <w:szCs w:val="24"/>
          <w:rtl/>
        </w:rPr>
      </w:pPr>
    </w:p>
    <w:p w:rsidR="00AD7A83" w:rsidRDefault="00AD7A83" w:rsidP="009863FF">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 xml:space="preserve">ב"כ הבעל: כן. לא אכפת לי להתחייב גם על מיליון דולר כי אני יודע שיוחזר. כיוון שיש לו טיסה היום אני מבקש ביטול עיכוב יציאה. </w:t>
      </w:r>
    </w:p>
    <w:p w:rsidR="00AD7A83" w:rsidRDefault="00AD7A83" w:rsidP="009863FF">
      <w:pPr>
        <w:pStyle w:val="ad"/>
        <w:spacing w:after="0" w:line="360" w:lineRule="auto"/>
        <w:ind w:left="1440"/>
        <w:jc w:val="both"/>
        <w:rPr>
          <w:rFonts w:ascii="David" w:hAnsi="David" w:cs="David"/>
          <w:b/>
          <w:bCs/>
          <w:i/>
          <w:iCs/>
          <w:sz w:val="24"/>
          <w:szCs w:val="24"/>
          <w:rtl/>
        </w:rPr>
      </w:pPr>
    </w:p>
    <w:p w:rsidR="00AD7A83" w:rsidRDefault="00AD7A83" w:rsidP="009863FF">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 xml:space="preserve">ב"כ האישה: הייתה התחייבות לתת את הדרכונים לפני הגט אנחנו מסכימים להסדר שהוצג. למען הסר ספק מובהר שאין בהחזרת הדרכונים שנלקחו מהאמא משום קביעה ו\או הסכמה לכל עניין מכל סוג שהוא לעניין הילדים. </w:t>
      </w:r>
    </w:p>
    <w:p w:rsidR="00AD7A83" w:rsidRDefault="00AD7A83" w:rsidP="009863FF">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11.08.2024 הוגשה </w:t>
      </w:r>
      <w:r w:rsidR="00610D08">
        <w:rPr>
          <w:rFonts w:ascii="David" w:hAnsi="David" w:cs="David" w:hint="cs"/>
          <w:sz w:val="24"/>
          <w:szCs w:val="24"/>
          <w:rtl/>
        </w:rPr>
        <w:t>ה</w:t>
      </w:r>
      <w:r>
        <w:rPr>
          <w:rFonts w:ascii="David" w:hAnsi="David" w:cs="David"/>
          <w:sz w:val="24"/>
          <w:szCs w:val="24"/>
          <w:rtl/>
        </w:rPr>
        <w:t xml:space="preserve">תביעה </w:t>
      </w:r>
      <w:r w:rsidR="00610D08">
        <w:rPr>
          <w:rFonts w:ascii="David" w:hAnsi="David" w:cs="David" w:hint="cs"/>
          <w:sz w:val="24"/>
          <w:szCs w:val="24"/>
          <w:rtl/>
        </w:rPr>
        <w:t xml:space="preserve">שלפני </w:t>
      </w:r>
      <w:r>
        <w:rPr>
          <w:rFonts w:ascii="David" w:hAnsi="David" w:cs="David"/>
          <w:sz w:val="24"/>
          <w:szCs w:val="24"/>
          <w:rtl/>
        </w:rPr>
        <w:t>להחזרת ילדים חטופים על פי חוק אמנת האג.</w:t>
      </w:r>
    </w:p>
    <w:p w:rsidR="00AD7A83" w:rsidRPr="00610D08"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לטענת התובע מקום מגוריי הקטינים הקבוע הינו ב</w:t>
      </w:r>
      <w:r w:rsidR="00F8253F">
        <w:rPr>
          <w:rFonts w:ascii="David" w:hAnsi="David" w:cs="David"/>
          <w:sz w:val="24"/>
          <w:szCs w:val="24"/>
          <w:rtl/>
        </w:rPr>
        <w:t>...</w:t>
      </w:r>
      <w:r>
        <w:rPr>
          <w:rFonts w:ascii="David" w:hAnsi="David" w:cs="David"/>
          <w:sz w:val="24"/>
          <w:szCs w:val="24"/>
          <w:rtl/>
        </w:rPr>
        <w:t>, ולא הייתה כל ה</w:t>
      </w:r>
      <w:r w:rsidR="00610D08">
        <w:rPr>
          <w:rFonts w:ascii="David" w:hAnsi="David" w:cs="David"/>
          <w:sz w:val="24"/>
          <w:szCs w:val="24"/>
          <w:rtl/>
        </w:rPr>
        <w:t>בנה או הסכמה להישאר לגור בישראל</w:t>
      </w:r>
      <w:r w:rsidR="00610D08">
        <w:rPr>
          <w:rFonts w:ascii="David" w:hAnsi="David" w:cs="David" w:hint="cs"/>
          <w:sz w:val="24"/>
          <w:szCs w:val="24"/>
          <w:rtl/>
        </w:rPr>
        <w:t>;</w:t>
      </w:r>
      <w:r>
        <w:rPr>
          <w:rFonts w:ascii="David" w:hAnsi="David" w:cs="David"/>
          <w:sz w:val="24"/>
          <w:szCs w:val="24"/>
          <w:rtl/>
        </w:rPr>
        <w:t xml:space="preserve"> מרכז חייהם של הצדדים והקטינים הינו ב</w:t>
      </w:r>
      <w:r w:rsidR="00F8253F">
        <w:rPr>
          <w:rFonts w:ascii="David" w:hAnsi="David" w:cs="David"/>
          <w:sz w:val="24"/>
          <w:szCs w:val="24"/>
          <w:rtl/>
        </w:rPr>
        <w:t>...</w:t>
      </w:r>
      <w:r>
        <w:rPr>
          <w:rFonts w:ascii="David" w:hAnsi="David" w:cs="David"/>
          <w:sz w:val="24"/>
          <w:szCs w:val="24"/>
          <w:rtl/>
        </w:rPr>
        <w:t xml:space="preserve"> ועל כן יש להורו</w:t>
      </w:r>
      <w:r w:rsidR="00610D08">
        <w:rPr>
          <w:rFonts w:ascii="David" w:hAnsi="David" w:cs="David"/>
          <w:sz w:val="24"/>
          <w:szCs w:val="24"/>
          <w:rtl/>
        </w:rPr>
        <w:t>ת על החזרת הקטינים למקומם הטבעי</w:t>
      </w:r>
      <w:r w:rsidR="00610D08">
        <w:rPr>
          <w:rFonts w:ascii="David" w:hAnsi="David" w:cs="David" w:hint="cs"/>
          <w:sz w:val="24"/>
          <w:szCs w:val="24"/>
          <w:rtl/>
        </w:rPr>
        <w:t>;</w:t>
      </w:r>
      <w:r w:rsidR="00610D08">
        <w:rPr>
          <w:rFonts w:ascii="David" w:hAnsi="David" w:cs="David"/>
          <w:sz w:val="24"/>
          <w:szCs w:val="24"/>
          <w:rtl/>
        </w:rPr>
        <w:t xml:space="preserve"> </w:t>
      </w:r>
      <w:r>
        <w:rPr>
          <w:rFonts w:ascii="David" w:hAnsi="David" w:cs="David"/>
          <w:sz w:val="24"/>
          <w:szCs w:val="24"/>
          <w:rtl/>
        </w:rPr>
        <w:t>בנסיבות בהן פעלה האם באופן חד צדדי, תוך שהיא מותירה את הקטינים בישראל ללא הסכמת האב, יש להחיל את חוק אמנת האג ולהורות על השבת הקטינים ל</w:t>
      </w:r>
      <w:r w:rsidR="00F8253F">
        <w:rPr>
          <w:rFonts w:ascii="David" w:hAnsi="David" w:cs="David"/>
          <w:sz w:val="24"/>
          <w:szCs w:val="24"/>
          <w:rtl/>
        </w:rPr>
        <w:t>...</w:t>
      </w:r>
      <w:r>
        <w:rPr>
          <w:rFonts w:ascii="David" w:hAnsi="David" w:cs="David"/>
          <w:sz w:val="24"/>
          <w:szCs w:val="24"/>
          <w:rtl/>
        </w:rPr>
        <w:t xml:space="preserve">. </w:t>
      </w:r>
    </w:p>
    <w:p w:rsidR="00AD7A83" w:rsidRDefault="00AD7A83" w:rsidP="009863FF">
      <w:pPr>
        <w:pStyle w:val="ad"/>
        <w:spacing w:after="0" w:line="360" w:lineRule="auto"/>
        <w:jc w:val="both"/>
        <w:rPr>
          <w:rFonts w:ascii="David" w:hAnsi="David" w:cs="David"/>
          <w:sz w:val="24"/>
          <w:szCs w:val="24"/>
        </w:rPr>
      </w:pPr>
    </w:p>
    <w:p w:rsidR="00AD7A83" w:rsidRPr="0008539F" w:rsidRDefault="00AD7A83" w:rsidP="0008539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האם, יש לדחות את התביעה, אשר הוגשה מטעמים הזרים ל</w:t>
      </w:r>
      <w:r w:rsidR="00610D08">
        <w:rPr>
          <w:rFonts w:ascii="David" w:hAnsi="David" w:cs="David"/>
          <w:sz w:val="24"/>
          <w:szCs w:val="24"/>
          <w:rtl/>
        </w:rPr>
        <w:t xml:space="preserve">אמנה </w:t>
      </w:r>
      <w:r w:rsidR="00610D08">
        <w:rPr>
          <w:rFonts w:ascii="David" w:hAnsi="David" w:cs="David" w:hint="cs"/>
          <w:sz w:val="24"/>
          <w:szCs w:val="24"/>
          <w:rtl/>
        </w:rPr>
        <w:t>ומ</w:t>
      </w:r>
      <w:r>
        <w:rPr>
          <w:rFonts w:ascii="David" w:hAnsi="David" w:cs="David"/>
          <w:sz w:val="24"/>
          <w:szCs w:val="24"/>
          <w:rtl/>
        </w:rPr>
        <w:t xml:space="preserve">תוך ניסיון להשיג הישגים במסגרת המשא ומתן </w:t>
      </w:r>
      <w:r w:rsidR="006D2481">
        <w:rPr>
          <w:rFonts w:ascii="David" w:hAnsi="David" w:cs="David" w:hint="cs"/>
          <w:sz w:val="24"/>
          <w:szCs w:val="24"/>
          <w:rtl/>
        </w:rPr>
        <w:t xml:space="preserve">וכן </w:t>
      </w:r>
      <w:r>
        <w:rPr>
          <w:rFonts w:ascii="David" w:hAnsi="David" w:cs="David"/>
          <w:sz w:val="24"/>
          <w:szCs w:val="24"/>
          <w:rtl/>
        </w:rPr>
        <w:t>מהטעם שמתקיימים החריגים הקבועים בסעיף 13</w:t>
      </w:r>
      <w:r w:rsidR="00215FD1">
        <w:rPr>
          <w:rFonts w:ascii="David" w:hAnsi="David" w:cs="David" w:hint="cs"/>
          <w:sz w:val="24"/>
          <w:szCs w:val="24"/>
          <w:rtl/>
        </w:rPr>
        <w:t>(</w:t>
      </w:r>
      <w:r>
        <w:rPr>
          <w:rFonts w:ascii="David" w:hAnsi="David" w:cs="David"/>
          <w:sz w:val="24"/>
          <w:szCs w:val="24"/>
          <w:rtl/>
        </w:rPr>
        <w:t>א</w:t>
      </w:r>
      <w:r w:rsidR="00215FD1">
        <w:rPr>
          <w:rFonts w:ascii="David" w:hAnsi="David" w:cs="David" w:hint="cs"/>
          <w:sz w:val="24"/>
          <w:szCs w:val="24"/>
          <w:rtl/>
        </w:rPr>
        <w:t>)</w:t>
      </w:r>
      <w:r>
        <w:rPr>
          <w:rFonts w:ascii="David" w:hAnsi="David" w:cs="David"/>
          <w:sz w:val="24"/>
          <w:szCs w:val="24"/>
          <w:rtl/>
        </w:rPr>
        <w:t xml:space="preserve"> לאמנה בדבר הסכמה והשלמה של האב להמשך המגורים של הקטינים בישראל.</w:t>
      </w: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בהחלטתי מיום 11.08.2024 קבעתי כי לנוכח הדחיפות ובשעה שהתובענה הוגשה בעיצומה של פגרת בתי המשפט, הדיון בה יתקיים למחרת היום (12.08.2024) והתרתי לאם להגיש תצהיר תשובה עד למועד הדיון, תוך שהבהרתי שככל שלא יעלה בידיה לעשות כן, היא תמסור גרסתה וראיותיה במועד הדיון.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12.08.2024</w:t>
      </w:r>
      <w:r w:rsidR="00AD798D">
        <w:rPr>
          <w:rFonts w:ascii="David" w:hAnsi="David" w:cs="David"/>
          <w:sz w:val="24"/>
          <w:szCs w:val="24"/>
          <w:rtl/>
        </w:rPr>
        <w:t xml:space="preserve"> התקיים דיון במעמד הצדדים (</w:t>
      </w:r>
      <w:r>
        <w:rPr>
          <w:rFonts w:ascii="David" w:hAnsi="David" w:cs="David"/>
          <w:sz w:val="24"/>
          <w:szCs w:val="24"/>
          <w:rtl/>
        </w:rPr>
        <w:t>האב נוכח בדיון באמצעות היווע</w:t>
      </w:r>
      <w:r w:rsidR="00AD798D">
        <w:rPr>
          <w:rFonts w:ascii="David" w:hAnsi="David" w:cs="David"/>
          <w:sz w:val="24"/>
          <w:szCs w:val="24"/>
          <w:rtl/>
        </w:rPr>
        <w:t>דות חזותית ממקום מושבו ב</w:t>
      </w:r>
      <w:r w:rsidR="00F8253F">
        <w:rPr>
          <w:rFonts w:ascii="David" w:hAnsi="David" w:cs="David"/>
          <w:sz w:val="24"/>
          <w:szCs w:val="24"/>
          <w:rtl/>
        </w:rPr>
        <w:t>...</w:t>
      </w:r>
      <w:r w:rsidR="00AD798D">
        <w:rPr>
          <w:rFonts w:ascii="David" w:hAnsi="David" w:cs="David"/>
          <w:sz w:val="24"/>
          <w:szCs w:val="24"/>
          <w:rtl/>
        </w:rPr>
        <w:t>) בו קבעתי מועד לשמיעת הוכחות ו</w:t>
      </w:r>
      <w:r w:rsidR="00AD798D">
        <w:rPr>
          <w:rFonts w:ascii="David" w:hAnsi="David" w:cs="David" w:hint="cs"/>
          <w:sz w:val="24"/>
          <w:szCs w:val="24"/>
          <w:rtl/>
        </w:rPr>
        <w:t>הוריתי</w:t>
      </w:r>
      <w:r w:rsidR="00AD798D">
        <w:rPr>
          <w:rFonts w:ascii="David" w:hAnsi="David" w:cs="David"/>
          <w:sz w:val="24"/>
          <w:szCs w:val="24"/>
          <w:rtl/>
        </w:rPr>
        <w:t xml:space="preserve"> </w:t>
      </w:r>
      <w:r w:rsidR="00AD798D">
        <w:rPr>
          <w:rFonts w:ascii="David" w:hAnsi="David" w:cs="David" w:hint="cs"/>
          <w:sz w:val="24"/>
          <w:szCs w:val="24"/>
          <w:rtl/>
        </w:rPr>
        <w:t xml:space="preserve">על </w:t>
      </w:r>
      <w:r>
        <w:rPr>
          <w:rFonts w:ascii="David" w:hAnsi="David" w:cs="David"/>
          <w:sz w:val="24"/>
          <w:szCs w:val="24"/>
          <w:rtl/>
        </w:rPr>
        <w:t>מינוי מומחית מטעם ביהמ"ש (ד"ר ללי גרשנזון) בשאלה האם האב מהווה סיכון לאם ולקטינים והאם קיים חשש כי האב עלול לפגוע בקטינים, כפי טענת האם (טענות שהוכחשו ע"י האב).</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כמו כן, התרתי לנתבעת להגיש כתב הגנה מטעמה בתוך 7 ימים ממועד הדיון.</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ביום 20.08.2024 הגישה הנתבעת כתב הגנה מטעמה ובקשה לזימון עדים ובהחלטתי מיום 20.08.2024 נעתרתי לבקשה לזימון עדים.</w:t>
      </w:r>
    </w:p>
    <w:p w:rsidR="00AD7A83" w:rsidRDefault="00AD7A83" w:rsidP="009863FF">
      <w:pPr>
        <w:pStyle w:val="ad"/>
        <w:spacing w:after="0" w:line="360" w:lineRule="auto"/>
        <w:jc w:val="both"/>
        <w:rPr>
          <w:rFonts w:ascii="David" w:hAnsi="David" w:cs="David"/>
          <w:sz w:val="24"/>
          <w:szCs w:val="24"/>
        </w:rPr>
      </w:pPr>
    </w:p>
    <w:p w:rsidR="00AD7A83" w:rsidRPr="00AD798D"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17.09.2024 הוגשה חו"ד מומחית ביהמ"ש, במסגרתה הודיעה כי לא התרשמה כי קיימת סכנה לילדים או לאמם, ככל שביהמ"ש יחליט על השבת הקטינים ל</w:t>
      </w:r>
      <w:r w:rsidR="00F8253F">
        <w:rPr>
          <w:rFonts w:ascii="David" w:hAnsi="David" w:cs="David"/>
          <w:sz w:val="24"/>
          <w:szCs w:val="24"/>
          <w:rtl/>
        </w:rPr>
        <w:t>...</w:t>
      </w:r>
      <w:r>
        <w:rPr>
          <w:rFonts w:ascii="David" w:hAnsi="David" w:cs="David"/>
          <w:sz w:val="24"/>
          <w:szCs w:val="24"/>
          <w:rtl/>
        </w:rPr>
        <w:t xml:space="preserve"> על מנת</w:t>
      </w:r>
      <w:r w:rsidR="00AD798D">
        <w:rPr>
          <w:rFonts w:ascii="David" w:hAnsi="David" w:cs="David" w:hint="cs"/>
          <w:sz w:val="24"/>
          <w:szCs w:val="24"/>
          <w:rtl/>
        </w:rPr>
        <w:t xml:space="preserve"> </w:t>
      </w:r>
      <w:r w:rsidRPr="00AD798D">
        <w:rPr>
          <w:rFonts w:ascii="David" w:hAnsi="David" w:cs="David"/>
          <w:sz w:val="24"/>
          <w:szCs w:val="24"/>
          <w:rtl/>
        </w:rPr>
        <w:t xml:space="preserve">לנהל שם את התהליך המשפטי שיסדיר את תנאי הפרידה והקשר בין הילדים לאביהם. </w:t>
      </w:r>
    </w:p>
    <w:p w:rsidR="00AD7A83" w:rsidRDefault="00AD7A83" w:rsidP="009863FF">
      <w:pPr>
        <w:pStyle w:val="ad"/>
        <w:spacing w:after="0" w:line="360" w:lineRule="auto"/>
        <w:jc w:val="both"/>
        <w:rPr>
          <w:rFonts w:ascii="David" w:hAnsi="David" w:cs="David"/>
          <w:sz w:val="24"/>
          <w:szCs w:val="24"/>
          <w:rtl/>
        </w:rPr>
      </w:pPr>
    </w:p>
    <w:p w:rsidR="00AD7A83" w:rsidRDefault="00AD7A83" w:rsidP="009863FF">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מומחית ביהמ"ש ציינה כי לא בדקה הודעות שהציגה בפנייה האם ביחס לכך שהיא מאוימת, תוך שסברה כי אין זה מ</w:t>
      </w:r>
      <w:r w:rsidR="00AD798D">
        <w:rPr>
          <w:rFonts w:ascii="David" w:hAnsi="David" w:cs="David"/>
          <w:sz w:val="24"/>
          <w:szCs w:val="24"/>
          <w:rtl/>
        </w:rPr>
        <w:t>תפקידה לנהל שיחה עם אדם שמשתייך</w:t>
      </w:r>
      <w:r w:rsidR="00AD798D">
        <w:rPr>
          <w:rFonts w:ascii="David" w:hAnsi="David" w:cs="David" w:hint="cs"/>
          <w:sz w:val="24"/>
          <w:szCs w:val="24"/>
          <w:rtl/>
        </w:rPr>
        <w:t>,</w:t>
      </w:r>
      <w:r w:rsidR="00A74D3B">
        <w:rPr>
          <w:rFonts w:ascii="David" w:hAnsi="David" w:cs="David" w:hint="cs"/>
          <w:sz w:val="24"/>
          <w:szCs w:val="24"/>
          <w:rtl/>
        </w:rPr>
        <w:t xml:space="preserve"> לכאורה ו</w:t>
      </w:r>
      <w:r w:rsidR="00AD798D">
        <w:rPr>
          <w:rFonts w:ascii="David" w:hAnsi="David" w:cs="David" w:hint="cs"/>
          <w:sz w:val="24"/>
          <w:szCs w:val="24"/>
          <w:rtl/>
        </w:rPr>
        <w:t>על פי נטע</w:t>
      </w:r>
      <w:r w:rsidR="00A74D3B">
        <w:rPr>
          <w:rFonts w:ascii="David" w:hAnsi="David" w:cs="David" w:hint="cs"/>
          <w:sz w:val="24"/>
          <w:szCs w:val="24"/>
          <w:rtl/>
        </w:rPr>
        <w:t xml:space="preserve">ן על ידי האם, </w:t>
      </w:r>
      <w:r>
        <w:rPr>
          <w:rFonts w:ascii="David" w:hAnsi="David" w:cs="David"/>
          <w:sz w:val="24"/>
          <w:szCs w:val="24"/>
          <w:rtl/>
        </w:rPr>
        <w:t xml:space="preserve">למאפיה היהודית בניו יורק.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כפי הרשום ברישא חו"ד</w:t>
      </w:r>
      <w:r w:rsidR="00A74D3B">
        <w:rPr>
          <w:rFonts w:ascii="David" w:hAnsi="David" w:cs="David" w:hint="cs"/>
          <w:sz w:val="24"/>
          <w:szCs w:val="24"/>
          <w:rtl/>
        </w:rPr>
        <w:t>,</w:t>
      </w:r>
      <w:r>
        <w:rPr>
          <w:rFonts w:ascii="David" w:hAnsi="David" w:cs="David"/>
          <w:sz w:val="24"/>
          <w:szCs w:val="24"/>
          <w:rtl/>
        </w:rPr>
        <w:t xml:space="preserve"> המטפל של האב לא הסכים למסור מידע אודות הטיפול בו, כך שלא ניתן היה לאמת או להפריך טענות האם בעניין מסוכנות לכאורית של האב.</w:t>
      </w:r>
    </w:p>
    <w:p w:rsidR="00AD7A83" w:rsidRPr="00A74D3B"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הוסיפה המומחית כי הקטינים צמאים לקשר עם אביהם, מתגעגעים אליו וזקוקים לנוכחותו בחייהם והפגינו צורך עז שהוא יהיה חלק מחייהם.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לסיכום, המליצה המומחית כי ביהמ"ש ישקול החזרתם של הקטינים ל</w:t>
      </w:r>
      <w:r w:rsidR="00F8253F">
        <w:rPr>
          <w:rFonts w:ascii="David" w:hAnsi="David" w:cs="David"/>
          <w:sz w:val="24"/>
          <w:szCs w:val="24"/>
          <w:rtl/>
        </w:rPr>
        <w:t>...</w:t>
      </w:r>
      <w:r>
        <w:rPr>
          <w:rFonts w:ascii="David" w:hAnsi="David" w:cs="David"/>
          <w:sz w:val="24"/>
          <w:szCs w:val="24"/>
          <w:rtl/>
        </w:rPr>
        <w:t xml:space="preserve"> שם יוכלו הצדדים להשלים את הליך הגירושין, לקבוע את האחריות ההורית וחלוקת זמני השהות וייתכן כי יהיה מקום לדון להשיבם לישראל, בין אם בהסכמה ובין אם באמצעות קביעת ביהמ"ש שם.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בהחלטתי מיום 06.10.2024, התרתי לתובע להשתתף בדיון ההוכחות באמצעות היוועדות חזותית ודחיתי עמדת הנתבעת בעניין זה, זאת לנוכח המצב הביטחוני השורר במדינה והספק האם יעלה בידיו של האב למצוא טיסה לישראל. כמו כן, הבהרתי כי לנוכח הדחיפות הקיימת בבירור התובענה, לא ניתן להורות על דחיית מועד הדיון וכי בנסיבות הקיימות, אין מנוס מהתרת ההשתתפות בהיוועדות חזותית.</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הצדדים לא חלקו על מסקנות חו"ד בעניין טובת הקטינים, אולם </w:t>
      </w:r>
      <w:r w:rsidR="00A74D3B">
        <w:rPr>
          <w:rFonts w:ascii="David" w:hAnsi="David" w:cs="David" w:hint="cs"/>
          <w:sz w:val="24"/>
          <w:szCs w:val="24"/>
          <w:rtl/>
        </w:rPr>
        <w:t xml:space="preserve">והגם שהתובעת לא עמדה על בירור החריג הקבוע בסעיף 13(ב) לאמנה, הרי שמצאתי להעיר </w:t>
      </w:r>
      <w:r>
        <w:rPr>
          <w:rFonts w:ascii="David" w:hAnsi="David" w:cs="David"/>
          <w:sz w:val="24"/>
          <w:szCs w:val="24"/>
          <w:rtl/>
        </w:rPr>
        <w:t>כי קיימות</w:t>
      </w:r>
      <w:r w:rsidR="00A74D3B">
        <w:rPr>
          <w:rFonts w:ascii="David" w:hAnsi="David" w:cs="David" w:hint="cs"/>
          <w:sz w:val="24"/>
          <w:szCs w:val="24"/>
          <w:rtl/>
        </w:rPr>
        <w:t xml:space="preserve"> לכאורה</w:t>
      </w:r>
      <w:r>
        <w:rPr>
          <w:rFonts w:ascii="David" w:hAnsi="David" w:cs="David"/>
          <w:sz w:val="24"/>
          <w:szCs w:val="24"/>
          <w:rtl/>
        </w:rPr>
        <w:t xml:space="preserve"> סוגיות שלא נבדקו ע"י המומחית ו</w:t>
      </w:r>
      <w:r w:rsidR="00A74D3B">
        <w:rPr>
          <w:rFonts w:ascii="David" w:hAnsi="David" w:cs="David" w:hint="cs"/>
          <w:sz w:val="24"/>
          <w:szCs w:val="24"/>
          <w:rtl/>
        </w:rPr>
        <w:t xml:space="preserve">דומה כי </w:t>
      </w:r>
      <w:r>
        <w:rPr>
          <w:rFonts w:ascii="David" w:hAnsi="David" w:cs="David"/>
          <w:sz w:val="24"/>
          <w:szCs w:val="24"/>
          <w:rtl/>
        </w:rPr>
        <w:t>לא ניתן לקבוע באופן חד</w:t>
      </w:r>
      <w:r w:rsidR="00A74D3B">
        <w:rPr>
          <w:rFonts w:ascii="David" w:hAnsi="David" w:cs="David"/>
          <w:sz w:val="24"/>
          <w:szCs w:val="24"/>
          <w:rtl/>
        </w:rPr>
        <w:t xml:space="preserve"> משמעי האם יש ממש בטענת האם, </w:t>
      </w:r>
      <w:r w:rsidR="00941D3D">
        <w:rPr>
          <w:rFonts w:ascii="David" w:hAnsi="David" w:cs="David" w:hint="cs"/>
          <w:sz w:val="24"/>
          <w:szCs w:val="24"/>
          <w:rtl/>
        </w:rPr>
        <w:t xml:space="preserve">לפיה </w:t>
      </w:r>
      <w:r>
        <w:rPr>
          <w:rFonts w:ascii="David" w:hAnsi="David" w:cs="David"/>
          <w:sz w:val="24"/>
          <w:szCs w:val="24"/>
          <w:rtl/>
        </w:rPr>
        <w:t>קיים חשש שהחזרתם של הקטינים תחשוף אותם לנזק פיזי או פסיכולוגי או תעמיד אותם במצב סיכון אחר.</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spacing w:line="360" w:lineRule="auto"/>
        <w:jc w:val="both"/>
        <w:rPr>
          <w:rFonts w:ascii="David" w:hAnsi="David"/>
          <w:b/>
          <w:bCs/>
          <w:u w:val="single"/>
          <w:rtl/>
        </w:rPr>
      </w:pPr>
      <w:r>
        <w:rPr>
          <w:rFonts w:ascii="David" w:hAnsi="David"/>
          <w:b/>
          <w:bCs/>
          <w:u w:val="single"/>
          <w:rtl/>
        </w:rPr>
        <w:t>עדויות הצדדים ועדיהם</w:t>
      </w: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08.10.2024 התקיים דיון הוכחות ובו נחקרו הצדדים על ט</w:t>
      </w:r>
      <w:r w:rsidR="00941D3D">
        <w:rPr>
          <w:rFonts w:ascii="David" w:hAnsi="David" w:cs="David"/>
          <w:sz w:val="24"/>
          <w:szCs w:val="24"/>
          <w:rtl/>
        </w:rPr>
        <w:t>ענותיהם. כמו כן, נשמעו עדויות</w:t>
      </w:r>
      <w:r>
        <w:rPr>
          <w:rFonts w:ascii="David" w:hAnsi="David" w:cs="David"/>
          <w:sz w:val="24"/>
          <w:szCs w:val="24"/>
          <w:rtl/>
        </w:rPr>
        <w:t xml:space="preserve"> העדים, טוען רבני מרדכי שיינין והרב </w:t>
      </w:r>
      <w:r w:rsidR="0014143A">
        <w:rPr>
          <w:rFonts w:ascii="David" w:hAnsi="David" w:cs="David" w:hint="cs"/>
          <w:sz w:val="24"/>
          <w:szCs w:val="24"/>
          <w:rtl/>
        </w:rPr>
        <w:t>י.</w:t>
      </w:r>
      <w:r w:rsidR="009076AD">
        <w:rPr>
          <w:rFonts w:ascii="David" w:hAnsi="David" w:cs="David" w:hint="cs"/>
          <w:sz w:val="24"/>
          <w:szCs w:val="24"/>
          <w:rtl/>
        </w:rPr>
        <w:t xml:space="preserve"> </w:t>
      </w:r>
      <w:r w:rsidR="0014143A">
        <w:rPr>
          <w:rFonts w:ascii="David" w:hAnsi="David" w:cs="David"/>
          <w:sz w:val="24"/>
          <w:szCs w:val="24"/>
          <w:rtl/>
        </w:rPr>
        <w:t>א</w:t>
      </w:r>
      <w:r w:rsidR="0014143A">
        <w:rPr>
          <w:rFonts w:ascii="David" w:hAnsi="David" w:cs="David" w:hint="cs"/>
          <w:sz w:val="24"/>
          <w:szCs w:val="24"/>
          <w:rtl/>
        </w:rPr>
        <w:t>.</w:t>
      </w:r>
      <w:r>
        <w:rPr>
          <w:rFonts w:ascii="David" w:hAnsi="David" w:cs="David"/>
          <w:sz w:val="24"/>
          <w:szCs w:val="24"/>
          <w:rtl/>
        </w:rPr>
        <w:t>.</w:t>
      </w:r>
    </w:p>
    <w:p w:rsidR="00AD7A83" w:rsidRPr="009076AD"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מעדותו של האב נלמד כי הוא זה שיזם פניה לאנשים מטעמה של האם על מנת לנסות להגיע להסדר כולל (עמוד 12, שורה 16).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למרות האמור ולמרות שהתברר כי עו"ד מטעמו עמד על הקדמת מועד הדיון לסידור גט (ראו נספח 2 לכתב ההגנה) וסירב לבקשה הצד שכנגד לדחייתו בשל אירוע משפחתי של ב"כ הנתבעת, ולמרות ש</w:t>
      </w:r>
      <w:r w:rsidR="009076AD">
        <w:rPr>
          <w:rFonts w:ascii="David" w:hAnsi="David" w:cs="David" w:hint="cs"/>
          <w:sz w:val="24"/>
          <w:szCs w:val="24"/>
          <w:rtl/>
        </w:rPr>
        <w:t xml:space="preserve">האב </w:t>
      </w:r>
      <w:r>
        <w:rPr>
          <w:rFonts w:ascii="David" w:hAnsi="David" w:cs="David"/>
          <w:sz w:val="24"/>
          <w:szCs w:val="24"/>
          <w:rtl/>
        </w:rPr>
        <w:t xml:space="preserve">סבר כי בדרך קבע, יש להסדיר את כל העניינים הכרוכים בגירושין בטרם סידור הגט (ראו: עמ' 15, ש' 10), הכחיש הסכמות כלשהן בעניין מקום מגוריהם הקבוע של הקטינים ועדותו בעניין זה העלתה תמיהות רבות, כפי שיפורט להלן: </w:t>
      </w:r>
    </w:p>
    <w:p w:rsidR="00AD7A83" w:rsidRDefault="00AD7A83" w:rsidP="009863FF">
      <w:pPr>
        <w:spacing w:line="360" w:lineRule="auto"/>
        <w:ind w:left="360"/>
        <w:jc w:val="both"/>
        <w:rPr>
          <w:rFonts w:ascii="David" w:hAnsi="David"/>
        </w:rPr>
      </w:pPr>
    </w:p>
    <w:p w:rsidR="00AD7A83" w:rsidRDefault="00AD7A83" w:rsidP="009863FF">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תחילה הכחיש האב קיומו של משא ומתן</w:t>
      </w:r>
      <w:r w:rsidR="009076AD">
        <w:rPr>
          <w:rFonts w:ascii="David" w:hAnsi="David" w:cs="David" w:hint="cs"/>
          <w:sz w:val="24"/>
          <w:szCs w:val="24"/>
          <w:rtl/>
        </w:rPr>
        <w:t xml:space="preserve"> כלשהו</w:t>
      </w:r>
      <w:r>
        <w:rPr>
          <w:rFonts w:ascii="David" w:hAnsi="David" w:cs="David"/>
          <w:sz w:val="24"/>
          <w:szCs w:val="24"/>
          <w:rtl/>
        </w:rPr>
        <w:t xml:space="preserve"> (עמ' 12, ש' 19-20</w:t>
      </w:r>
      <w:r w:rsidR="009076AD">
        <w:rPr>
          <w:rFonts w:ascii="David" w:hAnsi="David" w:cs="David" w:hint="cs"/>
          <w:sz w:val="24"/>
          <w:szCs w:val="24"/>
          <w:rtl/>
        </w:rPr>
        <w:t xml:space="preserve"> וכן עדותו מיום 12.8.2024</w:t>
      </w:r>
      <w:r>
        <w:rPr>
          <w:rFonts w:ascii="David" w:hAnsi="David" w:cs="David"/>
          <w:sz w:val="24"/>
          <w:szCs w:val="24"/>
          <w:rtl/>
        </w:rPr>
        <w:t>), אולם התברר בהמשך עדותו</w:t>
      </w:r>
      <w:r w:rsidR="009076AD">
        <w:rPr>
          <w:rFonts w:ascii="David" w:hAnsi="David" w:cs="David" w:hint="cs"/>
          <w:sz w:val="24"/>
          <w:szCs w:val="24"/>
          <w:rtl/>
        </w:rPr>
        <w:t>,</w:t>
      </w:r>
      <w:r>
        <w:rPr>
          <w:rFonts w:ascii="David" w:hAnsi="David" w:cs="David"/>
          <w:sz w:val="24"/>
          <w:szCs w:val="24"/>
          <w:rtl/>
        </w:rPr>
        <w:t xml:space="preserve"> כי </w:t>
      </w:r>
      <w:r w:rsidR="009076AD">
        <w:rPr>
          <w:rFonts w:ascii="David" w:hAnsi="David" w:cs="David" w:hint="cs"/>
          <w:sz w:val="24"/>
          <w:szCs w:val="24"/>
          <w:rtl/>
        </w:rPr>
        <w:t xml:space="preserve">לכאורה </w:t>
      </w:r>
      <w:r>
        <w:rPr>
          <w:rFonts w:ascii="David" w:hAnsi="David" w:cs="David"/>
          <w:sz w:val="24"/>
          <w:szCs w:val="24"/>
          <w:rtl/>
        </w:rPr>
        <w:t xml:space="preserve">אף הוחלפה </w:t>
      </w:r>
      <w:r w:rsidR="009076AD">
        <w:rPr>
          <w:rFonts w:ascii="David" w:hAnsi="David" w:cs="David" w:hint="cs"/>
          <w:sz w:val="24"/>
          <w:szCs w:val="24"/>
          <w:rtl/>
        </w:rPr>
        <w:t xml:space="preserve">בין הצדדים </w:t>
      </w:r>
      <w:r w:rsidR="009076AD">
        <w:rPr>
          <w:rFonts w:ascii="David" w:hAnsi="David" w:cs="David"/>
          <w:sz w:val="24"/>
          <w:szCs w:val="24"/>
          <w:rtl/>
        </w:rPr>
        <w:t>טיוטת הסכם (עמ' 13, ש' 26), א</w:t>
      </w:r>
      <w:r w:rsidR="009076AD">
        <w:rPr>
          <w:rFonts w:ascii="David" w:hAnsi="David" w:cs="David" w:hint="cs"/>
          <w:sz w:val="24"/>
          <w:szCs w:val="24"/>
          <w:rtl/>
        </w:rPr>
        <w:t xml:space="preserve">ך לשיטתו של האב, </w:t>
      </w:r>
      <w:r>
        <w:rPr>
          <w:rFonts w:ascii="David" w:hAnsi="David" w:cs="David"/>
          <w:sz w:val="24"/>
          <w:szCs w:val="24"/>
          <w:rtl/>
        </w:rPr>
        <w:t xml:space="preserve">באופן תמוה </w:t>
      </w:r>
      <w:r w:rsidR="009076AD">
        <w:rPr>
          <w:rFonts w:ascii="David" w:hAnsi="David" w:cs="David" w:hint="cs"/>
          <w:sz w:val="24"/>
          <w:szCs w:val="24"/>
          <w:rtl/>
        </w:rPr>
        <w:t>ו</w:t>
      </w:r>
      <w:r>
        <w:rPr>
          <w:rFonts w:ascii="David" w:hAnsi="David" w:cs="David"/>
          <w:sz w:val="24"/>
          <w:szCs w:val="24"/>
          <w:rtl/>
        </w:rPr>
        <w:t>הגם שלהבנתו מדובר היה בהסכם כולל, הסכם זה לא כלל הוראות ביחס למקום מגוריהם של הקטינים (שם, ש' 27-28), זאת כאשר אך שורות ספורות קודם לכן העיד האב כי שני הצדדים סברו שעליהם לנהל את כל ענייניהם, מלבד הגירושין, ב</w:t>
      </w:r>
      <w:r w:rsidR="00F8253F">
        <w:rPr>
          <w:rFonts w:ascii="David" w:hAnsi="David" w:cs="David"/>
          <w:sz w:val="24"/>
          <w:szCs w:val="24"/>
          <w:rtl/>
        </w:rPr>
        <w:t>...</w:t>
      </w:r>
      <w:r>
        <w:rPr>
          <w:rFonts w:ascii="David" w:hAnsi="David" w:cs="David"/>
          <w:sz w:val="24"/>
          <w:szCs w:val="24"/>
          <w:rtl/>
        </w:rPr>
        <w:t xml:space="preserve"> (שם, ש' 1).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ניכר היה כי האב בעדותו ניסה להסתיר קיומן של הסכמות בעניין הקטינים, כאשר בכל פעם שנשאל </w:t>
      </w:r>
      <w:r w:rsidR="009076AD">
        <w:rPr>
          <w:rFonts w:ascii="David" w:hAnsi="David" w:cs="David"/>
          <w:sz w:val="24"/>
          <w:szCs w:val="24"/>
          <w:rtl/>
        </w:rPr>
        <w:t>שאלה שלא הייתה נוחה לו</w:t>
      </w:r>
      <w:r>
        <w:rPr>
          <w:rFonts w:ascii="David" w:hAnsi="David" w:cs="David"/>
          <w:sz w:val="24"/>
          <w:szCs w:val="24"/>
          <w:rtl/>
        </w:rPr>
        <w:t xml:space="preserve">, השיב תשובות מתחמקות. לכשנשאל האב על ידי בית המשפט האם חזר בו מההסכם, אישר כי סגר את כל הפרטים הכרוכים </w:t>
      </w:r>
      <w:r>
        <w:rPr>
          <w:rFonts w:ascii="David" w:hAnsi="David" w:cs="David"/>
          <w:sz w:val="24"/>
          <w:szCs w:val="24"/>
          <w:rtl/>
        </w:rPr>
        <w:lastRenderedPageBreak/>
        <w:t>בגיר</w:t>
      </w:r>
      <w:r w:rsidR="009076AD">
        <w:rPr>
          <w:rFonts w:ascii="David" w:hAnsi="David" w:cs="David"/>
          <w:sz w:val="24"/>
          <w:szCs w:val="24"/>
          <w:rtl/>
        </w:rPr>
        <w:t xml:space="preserve">ושין, אולם טען כי הוא לא זוכר </w:t>
      </w:r>
      <w:r w:rsidR="009076AD">
        <w:rPr>
          <w:rFonts w:ascii="David" w:hAnsi="David" w:cs="David" w:hint="cs"/>
          <w:sz w:val="24"/>
          <w:szCs w:val="24"/>
          <w:rtl/>
        </w:rPr>
        <w:t>מהם</w:t>
      </w:r>
      <w:r>
        <w:rPr>
          <w:rFonts w:ascii="David" w:hAnsi="David" w:cs="David"/>
          <w:sz w:val="24"/>
          <w:szCs w:val="24"/>
          <w:rtl/>
        </w:rPr>
        <w:t xml:space="preserve"> </w:t>
      </w:r>
      <w:r w:rsidR="009076AD">
        <w:rPr>
          <w:rFonts w:ascii="David" w:hAnsi="David" w:cs="David" w:hint="cs"/>
          <w:sz w:val="24"/>
          <w:szCs w:val="24"/>
          <w:rtl/>
        </w:rPr>
        <w:t>ה</w:t>
      </w:r>
      <w:r>
        <w:rPr>
          <w:rFonts w:ascii="David" w:hAnsi="David" w:cs="David"/>
          <w:sz w:val="24"/>
          <w:szCs w:val="24"/>
          <w:rtl/>
        </w:rPr>
        <w:t xml:space="preserve">פרטים </w:t>
      </w:r>
      <w:r w:rsidR="009076AD">
        <w:rPr>
          <w:rFonts w:ascii="David" w:hAnsi="David" w:cs="David" w:hint="cs"/>
          <w:sz w:val="24"/>
          <w:szCs w:val="24"/>
          <w:rtl/>
        </w:rPr>
        <w:t>שנכללו</w:t>
      </w:r>
      <w:r>
        <w:rPr>
          <w:rFonts w:ascii="David" w:hAnsi="David" w:cs="David"/>
          <w:sz w:val="24"/>
          <w:szCs w:val="24"/>
          <w:rtl/>
        </w:rPr>
        <w:t xml:space="preserve"> בהסכם ועל מה </w:t>
      </w:r>
      <w:r w:rsidR="00773F84">
        <w:rPr>
          <w:rFonts w:ascii="David" w:hAnsi="David" w:cs="David" w:hint="cs"/>
          <w:sz w:val="24"/>
          <w:szCs w:val="24"/>
          <w:rtl/>
        </w:rPr>
        <w:t xml:space="preserve">בדיוק </w:t>
      </w:r>
      <w:r>
        <w:rPr>
          <w:rFonts w:ascii="David" w:hAnsi="David" w:cs="David"/>
          <w:sz w:val="24"/>
          <w:szCs w:val="24"/>
          <w:rtl/>
        </w:rPr>
        <w:t xml:space="preserve">הסכים (עמוד 14, ש' 32-33), זאת למרות שמיד לאחר מכן ובאופן מפתיע זכר </w:t>
      </w:r>
      <w:r w:rsidR="00773F84">
        <w:rPr>
          <w:rFonts w:ascii="David" w:hAnsi="David" w:cs="David" w:hint="cs"/>
          <w:sz w:val="24"/>
          <w:szCs w:val="24"/>
          <w:rtl/>
        </w:rPr>
        <w:t xml:space="preserve">האב </w:t>
      </w:r>
      <w:r w:rsidR="00773F84">
        <w:rPr>
          <w:rFonts w:ascii="David" w:hAnsi="David" w:cs="David"/>
          <w:sz w:val="24"/>
          <w:szCs w:val="24"/>
          <w:rtl/>
        </w:rPr>
        <w:t xml:space="preserve">כי בהסכם נרשמו הוראות </w:t>
      </w:r>
      <w:r w:rsidR="00773F84">
        <w:rPr>
          <w:rFonts w:ascii="David" w:hAnsi="David" w:cs="David" w:hint="cs"/>
          <w:sz w:val="24"/>
          <w:szCs w:val="24"/>
          <w:rtl/>
        </w:rPr>
        <w:t>ל</w:t>
      </w:r>
      <w:r>
        <w:rPr>
          <w:rFonts w:ascii="David" w:hAnsi="David" w:cs="David"/>
          <w:sz w:val="24"/>
          <w:szCs w:val="24"/>
          <w:rtl/>
        </w:rPr>
        <w:t xml:space="preserve">עניין המזונות, הביקורים והרכוש (שם, ש' 34). </w:t>
      </w: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כך גם ביקש האב לשכנע את ביהמ"ש כי למרות שמדובר במשא ומתן שהתנהל אך לפני חודשים ספורים (כפי שהתברר מעדותו שלו עד לסמוך להגשת התביעה דנן - ראו: עדות האב עמ' 17, ש' 5-6), ביקש האב לטעון כי הוא לא זוכר "מה היה כתוב שם" (עמוד 14, ש' 31-32).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למרות האמור, האב אישר כי עו"ד מטעמו ערך הסכם "הגיוני ושיויוני" (עמ' 15, ש' 1), אולם שוב ביקש לשכנע את ביהמ"ש כי דווקא בסוגיית הקטינים הוא אינו זוכר מה נרשם בהסכם זה (שם, ש' 2).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האב ני</w:t>
      </w:r>
      <w:r w:rsidR="00773F84">
        <w:rPr>
          <w:rFonts w:ascii="David" w:hAnsi="David" w:cs="David"/>
          <w:sz w:val="24"/>
          <w:szCs w:val="24"/>
          <w:rtl/>
        </w:rPr>
        <w:t>סה להרחיק עצמו מפעולות שביצע ב</w:t>
      </w:r>
      <w:r w:rsidR="00773F84">
        <w:rPr>
          <w:rFonts w:ascii="David" w:hAnsi="David" w:cs="David" w:hint="cs"/>
          <w:sz w:val="24"/>
          <w:szCs w:val="24"/>
          <w:rtl/>
        </w:rPr>
        <w:t>א כוחו</w:t>
      </w:r>
      <w:r>
        <w:rPr>
          <w:rFonts w:ascii="David" w:hAnsi="David" w:cs="David"/>
          <w:sz w:val="24"/>
          <w:szCs w:val="24"/>
          <w:rtl/>
        </w:rPr>
        <w:t xml:space="preserve"> (</w:t>
      </w:r>
      <w:r w:rsidR="00773F84">
        <w:rPr>
          <w:rFonts w:ascii="David" w:hAnsi="David" w:cs="David" w:hint="cs"/>
          <w:sz w:val="24"/>
          <w:szCs w:val="24"/>
          <w:rtl/>
        </w:rPr>
        <w:t xml:space="preserve">עורך דין </w:t>
      </w:r>
      <w:r>
        <w:rPr>
          <w:rFonts w:ascii="David" w:hAnsi="David" w:cs="David"/>
          <w:sz w:val="24"/>
          <w:szCs w:val="24"/>
          <w:rtl/>
        </w:rPr>
        <w:t xml:space="preserve">אשר עדיין מופיע כמייצג בתיק בית הדין הרבני, כפי </w:t>
      </w:r>
      <w:r w:rsidR="00773F84">
        <w:rPr>
          <w:rFonts w:ascii="David" w:hAnsi="David" w:cs="David" w:hint="cs"/>
          <w:sz w:val="24"/>
          <w:szCs w:val="24"/>
          <w:rtl/>
        </w:rPr>
        <w:t>שהתברר</w:t>
      </w:r>
      <w:r>
        <w:rPr>
          <w:rFonts w:ascii="David" w:hAnsi="David" w:cs="David"/>
          <w:sz w:val="24"/>
          <w:szCs w:val="24"/>
          <w:rtl/>
        </w:rPr>
        <w:t xml:space="preserve"> מעדותו של טוען רבני שיינין, שתובא להלן) תוך שהוא טוען כי מדובר היה ביוזמה פרטית של עו</w:t>
      </w:r>
      <w:r w:rsidR="00773F84">
        <w:rPr>
          <w:rFonts w:ascii="David" w:hAnsi="David" w:cs="David" w:hint="cs"/>
          <w:sz w:val="24"/>
          <w:szCs w:val="24"/>
          <w:rtl/>
        </w:rPr>
        <w:t>ה</w:t>
      </w:r>
      <w:r>
        <w:rPr>
          <w:rFonts w:ascii="David" w:hAnsi="David" w:cs="David"/>
          <w:sz w:val="24"/>
          <w:szCs w:val="24"/>
          <w:rtl/>
        </w:rPr>
        <w:t xml:space="preserve">"ד שאינה על דעתו (עמ' 15, ש' 4), זאת למרות שאישר כי עו"ד סלומון אכן ייצג אותו </w:t>
      </w:r>
      <w:r w:rsidR="00773F84">
        <w:rPr>
          <w:rFonts w:ascii="David" w:hAnsi="David" w:cs="David" w:hint="cs"/>
          <w:sz w:val="24"/>
          <w:szCs w:val="24"/>
          <w:rtl/>
        </w:rPr>
        <w:t>בהליך הגירושין</w:t>
      </w:r>
      <w:r w:rsidR="00773F84">
        <w:rPr>
          <w:rFonts w:ascii="David" w:hAnsi="David" w:cs="David"/>
          <w:sz w:val="24"/>
          <w:szCs w:val="24"/>
          <w:rtl/>
        </w:rPr>
        <w:t xml:space="preserve"> </w:t>
      </w:r>
      <w:r>
        <w:rPr>
          <w:rFonts w:ascii="David" w:hAnsi="David" w:cs="David"/>
          <w:sz w:val="24"/>
          <w:szCs w:val="24"/>
          <w:rtl/>
        </w:rPr>
        <w:t xml:space="preserve">ושאל אותו מה רצונו (עמ' 13, ש' 14 וש' 20). </w:t>
      </w:r>
    </w:p>
    <w:p w:rsidR="00AD7A83" w:rsidRDefault="00AD7A83" w:rsidP="009863FF">
      <w:pPr>
        <w:pStyle w:val="ad"/>
        <w:spacing w:after="0" w:line="360" w:lineRule="auto"/>
        <w:ind w:left="1440"/>
        <w:jc w:val="both"/>
        <w:rPr>
          <w:rFonts w:ascii="David" w:hAnsi="David" w:cs="David"/>
          <w:sz w:val="24"/>
          <w:szCs w:val="24"/>
        </w:rPr>
      </w:pPr>
    </w:p>
    <w:p w:rsidR="00AD7A83" w:rsidRDefault="00773F84"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כך ניסה האב להרחיק עצמו </w:t>
      </w:r>
      <w:r>
        <w:rPr>
          <w:rFonts w:ascii="David" w:hAnsi="David" w:cs="David" w:hint="cs"/>
          <w:sz w:val="24"/>
          <w:szCs w:val="24"/>
          <w:rtl/>
        </w:rPr>
        <w:t>מאדם</w:t>
      </w:r>
      <w:r w:rsidR="00AD7A83">
        <w:rPr>
          <w:rFonts w:ascii="David" w:hAnsi="David" w:cs="David"/>
          <w:sz w:val="24"/>
          <w:szCs w:val="24"/>
          <w:rtl/>
        </w:rPr>
        <w:t xml:space="preserve"> שניהל </w:t>
      </w:r>
      <w:r>
        <w:rPr>
          <w:rFonts w:ascii="David" w:hAnsi="David" w:cs="David" w:hint="cs"/>
          <w:sz w:val="24"/>
          <w:szCs w:val="24"/>
          <w:rtl/>
        </w:rPr>
        <w:t xml:space="preserve">בשמו </w:t>
      </w:r>
      <w:r w:rsidR="00AD7A83">
        <w:rPr>
          <w:rFonts w:ascii="David" w:hAnsi="David" w:cs="David"/>
          <w:sz w:val="24"/>
          <w:szCs w:val="24"/>
          <w:rtl/>
        </w:rPr>
        <w:t>משא ומתן (</w:t>
      </w:r>
      <w:r w:rsidR="0014143A">
        <w:rPr>
          <w:rFonts w:ascii="David" w:hAnsi="David" w:cs="David"/>
          <w:sz w:val="24"/>
          <w:szCs w:val="24"/>
          <w:rtl/>
        </w:rPr>
        <w:t>הרב ר'</w:t>
      </w:r>
      <w:r w:rsidR="00AD7A83">
        <w:rPr>
          <w:rFonts w:ascii="David" w:hAnsi="David" w:cs="David"/>
          <w:sz w:val="24"/>
          <w:szCs w:val="24"/>
          <w:rtl/>
        </w:rPr>
        <w:t xml:space="preserve"> - ראו: עמ' 18, ש' 13) וזאת למרות שבתחילת הדיון אישר כי הוא זה שפנה אליו וביקש ממנו לנהל משא ומתן עם הצד שכנגד (עמ' 16, ש' 30-31).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למרות האמור, אישר האב כי הוא יודע שאותו רב שניהל את המשא ומתן בשמו</w:t>
      </w:r>
      <w:r w:rsidR="00773F84">
        <w:rPr>
          <w:rFonts w:ascii="David" w:hAnsi="David" w:cs="David" w:hint="cs"/>
          <w:sz w:val="24"/>
          <w:szCs w:val="24"/>
          <w:rtl/>
        </w:rPr>
        <w:t>,</w:t>
      </w:r>
      <w:r>
        <w:rPr>
          <w:rFonts w:ascii="David" w:hAnsi="David" w:cs="David"/>
          <w:sz w:val="24"/>
          <w:szCs w:val="24"/>
          <w:rtl/>
        </w:rPr>
        <w:t xml:space="preserve"> הציע שהקטינים יישארו בישראל, תוך קביעת סכום המזונות ואופן הביקורים שלו את הקטינים (עמ' 17, ש' 1), וכי בהצעה שהוחלפה בין המתווכים, הקטינים היו אמורים להתגורר בישראל (שם, ש' 22)</w:t>
      </w:r>
      <w:r w:rsidR="00773F84">
        <w:rPr>
          <w:rFonts w:ascii="David" w:hAnsi="David" w:cs="David" w:hint="cs"/>
          <w:sz w:val="24"/>
          <w:szCs w:val="24"/>
          <w:rtl/>
        </w:rPr>
        <w:t xml:space="preserve"> אך לדבריו, הדבר נעשה שלא על דעתו</w:t>
      </w:r>
      <w:r>
        <w:rPr>
          <w:rFonts w:ascii="David" w:hAnsi="David" w:cs="David"/>
          <w:sz w:val="24"/>
          <w:szCs w:val="24"/>
          <w:rtl/>
        </w:rPr>
        <w:t xml:space="preserve">.  </w:t>
      </w:r>
    </w:p>
    <w:p w:rsidR="00AD7A83" w:rsidRPr="00773F84"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כפי שניתן ללמוד מעדותו של האב עצמו, בעיצומו של שיח שהתנהל בין הצדדים באמצעות מתווכים מטעמם, הוא פעל באופן חד צדדי והגיש את התובענה לביהמ"ש (עמ' 17, ש' 5-6), זאת למרות שבמשך חודש וחצי לערך, ממועד עזיבתו את הארץ לאחר סידור הגט, שקט על שמריו ולא הביע כל התנגדות לכך שהקטינים ימשיכו להתגורר בישראל (שם, ש' 7-11).</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לכשנשאל האב אודות שיחה שהתקיימה ביום 11.08.2024 בין שני המתווכים, במסגרתה שאל </w:t>
      </w:r>
      <w:r w:rsidR="00773F84">
        <w:rPr>
          <w:rFonts w:ascii="David" w:hAnsi="David" w:cs="David" w:hint="cs"/>
          <w:sz w:val="24"/>
          <w:szCs w:val="24"/>
          <w:rtl/>
        </w:rPr>
        <w:t>נציג</w:t>
      </w:r>
      <w:r>
        <w:rPr>
          <w:rFonts w:ascii="David" w:hAnsi="David" w:cs="David"/>
          <w:sz w:val="24"/>
          <w:szCs w:val="24"/>
          <w:rtl/>
        </w:rPr>
        <w:t xml:space="preserve"> האם את נציג האב, האם ההסכמות הן על דעתו של התובע וכי המתווך מטעם האב אישר כי מדובר בהסכמה מפורשת של האב שהקטינים ימשיכו להתגורר בישראל, השיב האב </w:t>
      </w:r>
      <w:r>
        <w:rPr>
          <w:rFonts w:ascii="David" w:hAnsi="David" w:cs="David"/>
          <w:b/>
          <w:bCs/>
          <w:i/>
          <w:iCs/>
          <w:sz w:val="24"/>
          <w:szCs w:val="24"/>
          <w:rtl/>
        </w:rPr>
        <w:t xml:space="preserve">"אני לא יודע מה הבין </w:t>
      </w:r>
      <w:r w:rsidR="0014143A">
        <w:rPr>
          <w:rFonts w:ascii="David" w:hAnsi="David" w:cs="David"/>
          <w:b/>
          <w:bCs/>
          <w:i/>
          <w:iCs/>
          <w:sz w:val="24"/>
          <w:szCs w:val="24"/>
          <w:rtl/>
        </w:rPr>
        <w:t>הרב ר'</w:t>
      </w:r>
      <w:r>
        <w:rPr>
          <w:rFonts w:ascii="David" w:hAnsi="David" w:cs="David"/>
          <w:b/>
          <w:bCs/>
          <w:i/>
          <w:iCs/>
          <w:sz w:val="24"/>
          <w:szCs w:val="24"/>
          <w:rtl/>
        </w:rPr>
        <w:t>...זה לא היה בהסכמתי והוא דיבר מדעתו"</w:t>
      </w:r>
      <w:r>
        <w:rPr>
          <w:rFonts w:ascii="David" w:hAnsi="David" w:cs="David"/>
          <w:sz w:val="24"/>
          <w:szCs w:val="24"/>
          <w:rtl/>
        </w:rPr>
        <w:t xml:space="preserve"> (עמ' 18, ש' 12-13).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עם זאת, אישר האב כי הוא לא חושב שהמתווך מטעמו (</w:t>
      </w:r>
      <w:r w:rsidR="0014143A">
        <w:rPr>
          <w:rFonts w:ascii="David" w:hAnsi="David" w:cs="David"/>
          <w:sz w:val="24"/>
          <w:szCs w:val="24"/>
          <w:rtl/>
        </w:rPr>
        <w:t>הרב ר'</w:t>
      </w:r>
      <w:r>
        <w:rPr>
          <w:rFonts w:ascii="David" w:hAnsi="David" w:cs="David"/>
          <w:sz w:val="24"/>
          <w:szCs w:val="24"/>
          <w:rtl/>
        </w:rPr>
        <w:t>) "</w:t>
      </w:r>
      <w:r w:rsidRPr="00773F84">
        <w:rPr>
          <w:rFonts w:ascii="David" w:hAnsi="David" w:cs="David"/>
          <w:i/>
          <w:iCs/>
          <w:sz w:val="24"/>
          <w:szCs w:val="24"/>
          <w:rtl/>
        </w:rPr>
        <w:t>חלם</w:t>
      </w:r>
      <w:r>
        <w:rPr>
          <w:rFonts w:ascii="David" w:hAnsi="David" w:cs="David"/>
          <w:sz w:val="24"/>
          <w:szCs w:val="24"/>
          <w:rtl/>
        </w:rPr>
        <w:t xml:space="preserve">" ואישר כי הוא והמתווך מטעמו דיברו על הסכמות והסתפקו האם להגיש תביעה לפי אמנת האג, אם לאו (שם, ש' 22).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האב התקשה להסביר מדוע בשיחה שהתקיימה בין ב"כ הנוכחי של האב לבין המתווכים ביום 11.08.2024 (בסמוך להגשת התביעה דנן), הביעו המתווכים בפני ב"כ חשש אודות ניהול ההליך לפי אמנת האג (ראו: דברי ב"כ האב, עמ' 8, ש' 9-10 לפרוטוקול הדיון מיום 12.08.2024) ואישר כי חששם של המתווכים היה מכך שביהמ"ש יחייב את הילדים להגיע ל</w:t>
      </w:r>
      <w:r w:rsidR="00F8253F">
        <w:rPr>
          <w:rFonts w:ascii="David" w:hAnsi="David" w:cs="David"/>
          <w:sz w:val="24"/>
          <w:szCs w:val="24"/>
          <w:rtl/>
        </w:rPr>
        <w:t>...</w:t>
      </w:r>
      <w:r>
        <w:rPr>
          <w:rFonts w:ascii="David" w:hAnsi="David" w:cs="David"/>
          <w:sz w:val="24"/>
          <w:szCs w:val="24"/>
          <w:rtl/>
        </w:rPr>
        <w:t xml:space="preserve"> (עמ' 19, ש' 8-9 לפרוטוקול מיום 08.10.2024) ולשאלה מדוע המתווך מטעמו לא שמח על כך שביהמ"ש ישיב את הקטינים ל</w:t>
      </w:r>
      <w:r w:rsidR="00F8253F">
        <w:rPr>
          <w:rFonts w:ascii="David" w:hAnsi="David" w:cs="David"/>
          <w:sz w:val="24"/>
          <w:szCs w:val="24"/>
          <w:rtl/>
        </w:rPr>
        <w:t>...</w:t>
      </w:r>
      <w:r>
        <w:rPr>
          <w:rFonts w:ascii="David" w:hAnsi="David" w:cs="David"/>
          <w:sz w:val="24"/>
          <w:szCs w:val="24"/>
          <w:rtl/>
        </w:rPr>
        <w:t xml:space="preserve"> כפי עמדתו המוצהרת של האב בהליך זה, השיב האב </w:t>
      </w:r>
      <w:r>
        <w:rPr>
          <w:rFonts w:ascii="David" w:hAnsi="David" w:cs="David"/>
          <w:b/>
          <w:bCs/>
          <w:i/>
          <w:iCs/>
          <w:sz w:val="24"/>
          <w:szCs w:val="24"/>
          <w:rtl/>
        </w:rPr>
        <w:t xml:space="preserve">"השאלה למה </w:t>
      </w:r>
      <w:r w:rsidR="0014143A">
        <w:rPr>
          <w:rFonts w:ascii="David" w:hAnsi="David" w:cs="David"/>
          <w:b/>
          <w:bCs/>
          <w:i/>
          <w:iCs/>
          <w:sz w:val="24"/>
          <w:szCs w:val="24"/>
          <w:rtl/>
        </w:rPr>
        <w:t>הרב ר'</w:t>
      </w:r>
      <w:r>
        <w:rPr>
          <w:rFonts w:ascii="David" w:hAnsi="David" w:cs="David"/>
          <w:b/>
          <w:bCs/>
          <w:i/>
          <w:iCs/>
          <w:sz w:val="24"/>
          <w:szCs w:val="24"/>
          <w:rtl/>
        </w:rPr>
        <w:t xml:space="preserve"> לא שמח אני לא יודע" </w:t>
      </w:r>
      <w:r>
        <w:rPr>
          <w:rFonts w:ascii="David" w:hAnsi="David" w:cs="David"/>
          <w:sz w:val="24"/>
          <w:szCs w:val="24"/>
          <w:rtl/>
        </w:rPr>
        <w:t xml:space="preserve">(שם, ש' 11).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לבסוף, לכשנשאל האב האם ככל שביהמ"ש יחייב את הקטינים לחזור ל</w:t>
      </w:r>
      <w:r w:rsidR="00F8253F">
        <w:rPr>
          <w:rFonts w:ascii="David" w:hAnsi="David" w:cs="David"/>
          <w:sz w:val="24"/>
          <w:szCs w:val="24"/>
          <w:rtl/>
        </w:rPr>
        <w:t>...</w:t>
      </w:r>
      <w:r>
        <w:rPr>
          <w:rFonts w:ascii="David" w:hAnsi="David" w:cs="David"/>
          <w:sz w:val="24"/>
          <w:szCs w:val="24"/>
          <w:rtl/>
        </w:rPr>
        <w:t xml:space="preserve"> אך האם תבחר להתגורר בעצמה בישראל, ביקש האב כי ביהמ"ש יחייב גם את האם לחזור ל</w:t>
      </w:r>
      <w:r w:rsidR="00F8253F">
        <w:rPr>
          <w:rFonts w:ascii="David" w:hAnsi="David" w:cs="David"/>
          <w:sz w:val="24"/>
          <w:szCs w:val="24"/>
          <w:rtl/>
        </w:rPr>
        <w:t>...</w:t>
      </w:r>
      <w:r>
        <w:rPr>
          <w:rFonts w:ascii="David" w:hAnsi="David" w:cs="David"/>
          <w:sz w:val="24"/>
          <w:szCs w:val="24"/>
          <w:rtl/>
        </w:rPr>
        <w:t xml:space="preserve"> וככל שפס"ד לא יחייב אותה לעשות כן ורק הילדים יצטרכו לשוב ל</w:t>
      </w:r>
      <w:r w:rsidR="00F8253F">
        <w:rPr>
          <w:rFonts w:ascii="David" w:hAnsi="David" w:cs="David"/>
          <w:sz w:val="24"/>
          <w:szCs w:val="24"/>
          <w:rtl/>
        </w:rPr>
        <w:t>...</w:t>
      </w:r>
      <w:r>
        <w:rPr>
          <w:rFonts w:ascii="David" w:hAnsi="David" w:cs="David"/>
          <w:sz w:val="24"/>
          <w:szCs w:val="24"/>
          <w:rtl/>
        </w:rPr>
        <w:t xml:space="preserve">, השיב האב </w:t>
      </w:r>
      <w:r>
        <w:rPr>
          <w:rFonts w:ascii="David" w:hAnsi="David" w:cs="David"/>
          <w:b/>
          <w:bCs/>
          <w:i/>
          <w:iCs/>
          <w:sz w:val="24"/>
          <w:szCs w:val="24"/>
          <w:rtl/>
        </w:rPr>
        <w:t xml:space="preserve">"זו שאלה מצוינת ואני לא יודע את התשובה" </w:t>
      </w:r>
      <w:r>
        <w:rPr>
          <w:rFonts w:ascii="David" w:hAnsi="David" w:cs="David"/>
          <w:sz w:val="24"/>
          <w:szCs w:val="24"/>
          <w:rtl/>
        </w:rPr>
        <w:t>(שם, ש' 12-16). יצוין בעניין זה, כי לאחר שמיעת ההוכחות (ביום 9.10.2024) הוגשה הודעה מטעם ב"כ האב ולפיה לאחר התייעצות "</w:t>
      </w:r>
      <w:r>
        <w:rPr>
          <w:rFonts w:ascii="David" w:hAnsi="David" w:cs="David"/>
          <w:i/>
          <w:iCs/>
          <w:sz w:val="24"/>
          <w:szCs w:val="24"/>
          <w:rtl/>
        </w:rPr>
        <w:t>עם גדולי ישראל</w:t>
      </w:r>
      <w:r>
        <w:rPr>
          <w:rFonts w:ascii="David" w:hAnsi="David" w:cs="David"/>
          <w:sz w:val="24"/>
          <w:szCs w:val="24"/>
          <w:rtl/>
        </w:rPr>
        <w:t>" ככל שהאם לא תשוב עם הקטינים ל</w:t>
      </w:r>
      <w:r w:rsidR="00F8253F">
        <w:rPr>
          <w:rFonts w:ascii="David" w:hAnsi="David" w:cs="David"/>
          <w:sz w:val="24"/>
          <w:szCs w:val="24"/>
          <w:rtl/>
        </w:rPr>
        <w:t>...</w:t>
      </w:r>
      <w:r>
        <w:rPr>
          <w:rFonts w:ascii="David" w:hAnsi="David" w:cs="David"/>
          <w:sz w:val="24"/>
          <w:szCs w:val="24"/>
          <w:rtl/>
        </w:rPr>
        <w:t>, האב ייטול את מלוא האחריות ההורית על ילדיו.</w:t>
      </w:r>
    </w:p>
    <w:p w:rsidR="00AD7A83" w:rsidRDefault="00AD7A83" w:rsidP="009863FF">
      <w:pPr>
        <w:pStyle w:val="ad"/>
        <w:spacing w:after="0" w:line="360" w:lineRule="auto"/>
        <w:ind w:left="1440"/>
        <w:jc w:val="both"/>
        <w:rPr>
          <w:rFonts w:ascii="David" w:hAnsi="David" w:cs="David"/>
          <w:sz w:val="24"/>
          <w:szCs w:val="24"/>
        </w:rPr>
      </w:pPr>
    </w:p>
    <w:p w:rsidR="00EB3931" w:rsidRDefault="00EB3931"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בעדותו</w:t>
      </w:r>
      <w:r>
        <w:rPr>
          <w:rFonts w:ascii="David" w:hAnsi="David" w:cs="David" w:hint="cs"/>
          <w:sz w:val="24"/>
          <w:szCs w:val="24"/>
          <w:rtl/>
        </w:rPr>
        <w:t xml:space="preserve">, </w:t>
      </w:r>
      <w:r w:rsidR="00AD7A83">
        <w:rPr>
          <w:rFonts w:ascii="David" w:hAnsi="David" w:cs="David"/>
          <w:sz w:val="24"/>
          <w:szCs w:val="24"/>
          <w:rtl/>
        </w:rPr>
        <w:t xml:space="preserve">הכחיש האב כי חלק מההסכמות היו שדירת הצדדים שנרכשה מכספי ירושה של האם, תחולק בחלקים שווים באופן שהאב ירכוש את חלקה של האם בדירה, והיא תוכל לרכוש בכספים אלה דירה בישראל (שם, ש' 17-21), אולם כפי שנלמד מעדותה של האם ומעדותו של </w:t>
      </w:r>
      <w:r w:rsidR="0014143A">
        <w:rPr>
          <w:rFonts w:ascii="David" w:hAnsi="David" w:cs="David"/>
          <w:sz w:val="24"/>
          <w:szCs w:val="24"/>
          <w:rtl/>
        </w:rPr>
        <w:t>הרב א'</w:t>
      </w:r>
      <w:r w:rsidR="00AD7A83">
        <w:rPr>
          <w:rFonts w:ascii="David" w:hAnsi="David" w:cs="David"/>
          <w:sz w:val="24"/>
          <w:szCs w:val="24"/>
          <w:rtl/>
        </w:rPr>
        <w:t>, שלא נסתרו, הסכמות הצדדים כללו הסכמה הכוללת רכישת חלקה של האם בדירת הצדדים, באופן שיאפשר לאם לרכוש דירה חלופית בישראל (רא</w:t>
      </w:r>
      <w:r>
        <w:rPr>
          <w:rFonts w:ascii="David" w:hAnsi="David" w:cs="David"/>
          <w:sz w:val="24"/>
          <w:szCs w:val="24"/>
          <w:rtl/>
        </w:rPr>
        <w:t>ו: עדויות האם ו</w:t>
      </w:r>
      <w:r w:rsidR="0014143A">
        <w:rPr>
          <w:rFonts w:ascii="David" w:hAnsi="David" w:cs="David"/>
          <w:sz w:val="24"/>
          <w:szCs w:val="24"/>
          <w:rtl/>
        </w:rPr>
        <w:t>הרב א'</w:t>
      </w:r>
      <w:r>
        <w:rPr>
          <w:rFonts w:ascii="David" w:hAnsi="David" w:cs="David"/>
          <w:sz w:val="24"/>
          <w:szCs w:val="24"/>
          <w:rtl/>
        </w:rPr>
        <w:t xml:space="preserve"> להלן)</w:t>
      </w:r>
      <w:r>
        <w:rPr>
          <w:rFonts w:ascii="David" w:hAnsi="David" w:cs="David" w:hint="cs"/>
          <w:sz w:val="24"/>
          <w:szCs w:val="24"/>
          <w:rtl/>
        </w:rPr>
        <w:t xml:space="preserve">. </w:t>
      </w:r>
    </w:p>
    <w:p w:rsidR="00EB3931" w:rsidRDefault="00EB3931" w:rsidP="009863FF">
      <w:pPr>
        <w:pStyle w:val="ad"/>
        <w:spacing w:after="0" w:line="360" w:lineRule="auto"/>
        <w:ind w:left="1440"/>
        <w:jc w:val="both"/>
        <w:rPr>
          <w:rFonts w:ascii="David" w:hAnsi="David" w:cs="David"/>
          <w:sz w:val="24"/>
          <w:szCs w:val="24"/>
        </w:rPr>
      </w:pPr>
    </w:p>
    <w:p w:rsidR="00D637EB" w:rsidRDefault="00EB3931"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עדות</w:t>
      </w:r>
      <w:r>
        <w:rPr>
          <w:rFonts w:ascii="David" w:hAnsi="David" w:cs="David" w:hint="cs"/>
          <w:sz w:val="24"/>
          <w:szCs w:val="24"/>
          <w:rtl/>
        </w:rPr>
        <w:t xml:space="preserve"> האם ועדיה</w:t>
      </w:r>
      <w:r w:rsidR="00AD7A83" w:rsidRPr="00EB3931">
        <w:rPr>
          <w:rFonts w:ascii="David" w:hAnsi="David" w:cs="David"/>
          <w:sz w:val="24"/>
          <w:szCs w:val="24"/>
          <w:rtl/>
        </w:rPr>
        <w:t xml:space="preserve"> אף קיבלה אישור מעדותו של האב מיום 12.08.2024 שבה אישר כי ההסכמה כללה רכישת חלקה של האם בדירה המשותפת על ידו, על מנת שהאם תוכל לרכוש דירה בישראל (ראו: עמ' 3, ש' 34)</w:t>
      </w:r>
      <w:r>
        <w:rPr>
          <w:rFonts w:ascii="David" w:hAnsi="David" w:cs="David" w:hint="cs"/>
          <w:sz w:val="24"/>
          <w:szCs w:val="24"/>
          <w:rtl/>
        </w:rPr>
        <w:t xml:space="preserve"> באופן המטיל ספק בגרסתו בדיון ההוכחות</w:t>
      </w:r>
      <w:r w:rsidR="00AD7A83" w:rsidRPr="00EB3931">
        <w:rPr>
          <w:rFonts w:ascii="David" w:hAnsi="David" w:cs="David"/>
          <w:sz w:val="24"/>
          <w:szCs w:val="24"/>
          <w:rtl/>
        </w:rPr>
        <w:t>.</w:t>
      </w:r>
    </w:p>
    <w:p w:rsidR="00AD7A83" w:rsidRPr="00EB3931" w:rsidRDefault="00AD7A83" w:rsidP="00D637EB">
      <w:pPr>
        <w:pStyle w:val="ad"/>
        <w:spacing w:after="0" w:line="360" w:lineRule="auto"/>
        <w:ind w:left="1440"/>
        <w:jc w:val="both"/>
        <w:rPr>
          <w:rFonts w:ascii="David" w:hAnsi="David" w:cs="David"/>
          <w:sz w:val="24"/>
          <w:szCs w:val="24"/>
        </w:rPr>
      </w:pPr>
      <w:r w:rsidRPr="00EB3931">
        <w:rPr>
          <w:rFonts w:ascii="David" w:hAnsi="David" w:cs="David"/>
          <w:sz w:val="24"/>
          <w:szCs w:val="24"/>
          <w:rtl/>
        </w:rPr>
        <w:t xml:space="preserve"> </w:t>
      </w:r>
    </w:p>
    <w:p w:rsidR="00AD7A83" w:rsidRDefault="00AD7A83" w:rsidP="009863FF">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מהימנותו של האב </w:t>
      </w:r>
      <w:r w:rsidR="00EB3931">
        <w:rPr>
          <w:rFonts w:ascii="David" w:hAnsi="David" w:cs="David" w:hint="cs"/>
          <w:sz w:val="24"/>
          <w:szCs w:val="24"/>
          <w:rtl/>
        </w:rPr>
        <w:t xml:space="preserve">כולה </w:t>
      </w:r>
      <w:r>
        <w:rPr>
          <w:rFonts w:ascii="David" w:hAnsi="David" w:cs="David"/>
          <w:sz w:val="24"/>
          <w:szCs w:val="24"/>
          <w:rtl/>
        </w:rPr>
        <w:t xml:space="preserve">עמדה בספק, לנוכח עדותו הספונטנית ביום 12.08.2024 שבה הכחיש </w:t>
      </w:r>
      <w:r w:rsidR="005F43D4">
        <w:rPr>
          <w:rFonts w:ascii="David" w:hAnsi="David" w:cs="David" w:hint="cs"/>
          <w:sz w:val="24"/>
          <w:szCs w:val="24"/>
          <w:rtl/>
        </w:rPr>
        <w:t>קיומו של</w:t>
      </w:r>
      <w:r>
        <w:rPr>
          <w:rFonts w:ascii="David" w:hAnsi="David" w:cs="David"/>
          <w:sz w:val="24"/>
          <w:szCs w:val="24"/>
          <w:rtl/>
        </w:rPr>
        <w:t xml:space="preserve"> משא ומתן</w:t>
      </w:r>
      <w:r w:rsidR="005F43D4">
        <w:rPr>
          <w:rFonts w:ascii="David" w:hAnsi="David" w:cs="David" w:hint="cs"/>
          <w:sz w:val="24"/>
          <w:szCs w:val="24"/>
          <w:rtl/>
        </w:rPr>
        <w:t xml:space="preserve"> כלשהו</w:t>
      </w:r>
      <w:r>
        <w:rPr>
          <w:rFonts w:ascii="David" w:hAnsi="David" w:cs="David"/>
          <w:sz w:val="24"/>
          <w:szCs w:val="24"/>
          <w:rtl/>
        </w:rPr>
        <w:t>, כל מעורבות</w:t>
      </w:r>
      <w:r w:rsidR="005F43D4">
        <w:rPr>
          <w:rFonts w:ascii="David" w:hAnsi="David" w:cs="David"/>
          <w:sz w:val="24"/>
          <w:szCs w:val="24"/>
          <w:rtl/>
        </w:rPr>
        <w:t xml:space="preserve"> של האדמו"ר, </w:t>
      </w:r>
      <w:r w:rsidR="005F43D4">
        <w:rPr>
          <w:rFonts w:ascii="David" w:hAnsi="David" w:cs="David" w:hint="cs"/>
          <w:sz w:val="24"/>
          <w:szCs w:val="24"/>
          <w:rtl/>
        </w:rPr>
        <w:t>ו</w:t>
      </w:r>
      <w:r>
        <w:rPr>
          <w:rFonts w:ascii="David" w:hAnsi="David" w:cs="David"/>
          <w:sz w:val="24"/>
          <w:szCs w:val="24"/>
          <w:rtl/>
        </w:rPr>
        <w:t xml:space="preserve">הסכמה </w:t>
      </w:r>
      <w:r w:rsidR="005F43D4">
        <w:rPr>
          <w:rFonts w:ascii="David" w:hAnsi="David" w:cs="David" w:hint="cs"/>
          <w:sz w:val="24"/>
          <w:szCs w:val="24"/>
          <w:rtl/>
        </w:rPr>
        <w:t xml:space="preserve">כלשהי </w:t>
      </w:r>
      <w:r w:rsidR="005F43D4">
        <w:rPr>
          <w:rFonts w:ascii="David" w:hAnsi="David" w:cs="David"/>
          <w:sz w:val="24"/>
          <w:szCs w:val="24"/>
          <w:rtl/>
        </w:rPr>
        <w:t xml:space="preserve">ואילו </w:t>
      </w:r>
      <w:r w:rsidR="005F43D4">
        <w:rPr>
          <w:rFonts w:ascii="David" w:hAnsi="David" w:cs="David" w:hint="cs"/>
          <w:sz w:val="24"/>
          <w:szCs w:val="24"/>
          <w:rtl/>
        </w:rPr>
        <w:t>מ</w:t>
      </w:r>
      <w:r>
        <w:rPr>
          <w:rFonts w:ascii="David" w:hAnsi="David" w:cs="David"/>
          <w:sz w:val="24"/>
          <w:szCs w:val="24"/>
          <w:rtl/>
        </w:rPr>
        <w:t xml:space="preserve">עדותו במועד שמיעת ההוכחות נלמד כי אכן התקיים משא ומתן, אכן הייתה מעורבות של האדמו"ר ושל המתווכים וכי אכן בחלק מהנושאים (כך לשיטתו) אף עלה בידי הצדדים להגיע להסכמות.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מעדותה של האם, אשר לא נסתרה, נלמדו העניינים הבאים:</w:t>
      </w:r>
    </w:p>
    <w:p w:rsidR="008137BC" w:rsidRDefault="008137BC" w:rsidP="009863FF">
      <w:pPr>
        <w:pStyle w:val="ad"/>
        <w:spacing w:after="0" w:line="360" w:lineRule="auto"/>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t>הגעת הצדדים לישראל, נועדה להיות זמנית, שכן הצדדים הגיעו לביקור משפחתי, אולם בסמוך לכך הודיעה האם לאב כי היא מעוניינת להתגרש ולשיטתה</w:t>
      </w:r>
      <w:r w:rsidR="008137BC">
        <w:rPr>
          <w:rFonts w:ascii="David" w:hAnsi="David" w:cs="David" w:hint="cs"/>
          <w:sz w:val="24"/>
          <w:szCs w:val="24"/>
          <w:rtl/>
        </w:rPr>
        <w:t>, כבר</w:t>
      </w:r>
      <w:r>
        <w:rPr>
          <w:rFonts w:ascii="David" w:hAnsi="David" w:cs="David"/>
          <w:sz w:val="24"/>
          <w:szCs w:val="24"/>
          <w:rtl/>
        </w:rPr>
        <w:t xml:space="preserve"> מהרגע הראשון הוסכם כי היא והקטינים ימשיכו להתגורר בישראל (עמ' 20, ש' 18-19, עמ' 21, ש' 21) וכי המשך ניהול משא ומתן </w:t>
      </w:r>
      <w:r w:rsidR="008137BC">
        <w:rPr>
          <w:rFonts w:ascii="David" w:hAnsi="David" w:cs="David" w:hint="cs"/>
          <w:sz w:val="24"/>
          <w:szCs w:val="24"/>
          <w:rtl/>
        </w:rPr>
        <w:t xml:space="preserve">התבסס על </w:t>
      </w:r>
      <w:r>
        <w:rPr>
          <w:rFonts w:ascii="David" w:hAnsi="David" w:cs="David"/>
          <w:sz w:val="24"/>
          <w:szCs w:val="24"/>
          <w:rtl/>
        </w:rPr>
        <w:t xml:space="preserve">נקודת הנחה זו. </w:t>
      </w:r>
    </w:p>
    <w:p w:rsidR="00AD7A83" w:rsidRPr="008137BC"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מעדותה של האם עלה כי הוסכם תחילה שהצדדים יגיעו להסדר כולל בבית הדין הרבני ולא ב</w:t>
      </w:r>
      <w:r w:rsidR="00F8253F">
        <w:rPr>
          <w:rFonts w:ascii="David" w:hAnsi="David" w:cs="David"/>
          <w:sz w:val="24"/>
          <w:szCs w:val="24"/>
          <w:rtl/>
        </w:rPr>
        <w:t>...</w:t>
      </w:r>
      <w:r>
        <w:rPr>
          <w:rFonts w:ascii="David" w:hAnsi="David" w:cs="David"/>
          <w:sz w:val="24"/>
          <w:szCs w:val="24"/>
          <w:rtl/>
        </w:rPr>
        <w:t xml:space="preserve"> וזאת תוך מתן סמכות לבית הדין ליתן פס"ד בעניין יתר העניינים הכרוכים בגירושין והכחישה טענת ב"כ האב כי ההסכם שעליו דיברו כ</w:t>
      </w:r>
      <w:r w:rsidR="00A41A58">
        <w:rPr>
          <w:rFonts w:ascii="David" w:hAnsi="David" w:cs="David" w:hint="cs"/>
          <w:sz w:val="24"/>
          <w:szCs w:val="24"/>
          <w:rtl/>
        </w:rPr>
        <w:t>ל</w:t>
      </w:r>
      <w:r>
        <w:rPr>
          <w:rFonts w:ascii="David" w:hAnsi="David" w:cs="David"/>
          <w:sz w:val="24"/>
          <w:szCs w:val="24"/>
          <w:rtl/>
        </w:rPr>
        <w:t>ל</w:t>
      </w:r>
      <w:r w:rsidR="00A41A58">
        <w:rPr>
          <w:rFonts w:ascii="David" w:hAnsi="David" w:cs="David"/>
          <w:sz w:val="24"/>
          <w:szCs w:val="24"/>
          <w:rtl/>
        </w:rPr>
        <w:t xml:space="preserve"> אך ורק את נושא המזונות ולא הסכמה להמשך מגוריה</w:t>
      </w:r>
      <w:r>
        <w:rPr>
          <w:rFonts w:ascii="David" w:hAnsi="David" w:cs="David"/>
          <w:sz w:val="24"/>
          <w:szCs w:val="24"/>
          <w:rtl/>
        </w:rPr>
        <w:t xml:space="preserve"> שלה ושל הקטינים בישראל (עמ' 20, ש' 29-36).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t xml:space="preserve">לכשנשאלה </w:t>
      </w:r>
      <w:r w:rsidR="00A41A58">
        <w:rPr>
          <w:rFonts w:ascii="David" w:hAnsi="David" w:cs="David" w:hint="cs"/>
          <w:sz w:val="24"/>
          <w:szCs w:val="24"/>
          <w:rtl/>
        </w:rPr>
        <w:t>ה</w:t>
      </w:r>
      <w:r>
        <w:rPr>
          <w:rFonts w:ascii="David" w:hAnsi="David" w:cs="David"/>
          <w:sz w:val="24"/>
          <w:szCs w:val="24"/>
          <w:rtl/>
        </w:rPr>
        <w:t>אם האם יכול להיות שהוסכם שהיא תחזור ל</w:t>
      </w:r>
      <w:r w:rsidR="00F8253F">
        <w:rPr>
          <w:rFonts w:ascii="David" w:hAnsi="David" w:cs="David"/>
          <w:sz w:val="24"/>
          <w:szCs w:val="24"/>
          <w:rtl/>
        </w:rPr>
        <w:t>...</w:t>
      </w:r>
      <w:r>
        <w:rPr>
          <w:rFonts w:ascii="David" w:hAnsi="David" w:cs="David"/>
          <w:sz w:val="24"/>
          <w:szCs w:val="24"/>
          <w:rtl/>
        </w:rPr>
        <w:t xml:space="preserve"> וכי ענייני הרכוש יתבצעו שם, השיבה בשאלה כיצד ניתן לדבר על טובת הקטינים בהשבתם לחו"ל בעת שההסכמות היו שהאב ימשיך להתגורר בדירה המשותפת ובעת שכל חפציהם של הקטינים נמצאים בדירה זו, תוך שהיא מבהירה כי להבנתה דרישתו של האב להשיב הקטינים ל</w:t>
      </w:r>
      <w:r w:rsidR="00F8253F">
        <w:rPr>
          <w:rFonts w:ascii="David" w:hAnsi="David" w:cs="David"/>
          <w:sz w:val="24"/>
          <w:szCs w:val="24"/>
          <w:rtl/>
        </w:rPr>
        <w:t>...</w:t>
      </w:r>
      <w:r>
        <w:rPr>
          <w:rFonts w:ascii="David" w:hAnsi="David" w:cs="David"/>
          <w:sz w:val="24"/>
          <w:szCs w:val="24"/>
          <w:rtl/>
        </w:rPr>
        <w:t xml:space="preserve"> מנוגדת לטובתם בנסיבות בהן הצדדים מתגרשים ו</w:t>
      </w:r>
      <w:r w:rsidR="00A41A58">
        <w:rPr>
          <w:rFonts w:ascii="David" w:hAnsi="David" w:cs="David" w:hint="cs"/>
          <w:sz w:val="24"/>
          <w:szCs w:val="24"/>
          <w:rtl/>
        </w:rPr>
        <w:t xml:space="preserve">כאשר </w:t>
      </w:r>
      <w:r>
        <w:rPr>
          <w:rFonts w:ascii="David" w:hAnsi="David" w:cs="David"/>
          <w:sz w:val="24"/>
          <w:szCs w:val="24"/>
          <w:rtl/>
        </w:rPr>
        <w:t xml:space="preserve">הוסכם שהאב ירכוש את חלקה בדירה </w:t>
      </w:r>
      <w:r w:rsidR="00A41A58">
        <w:rPr>
          <w:rFonts w:ascii="David" w:hAnsi="David" w:cs="David" w:hint="cs"/>
          <w:sz w:val="24"/>
          <w:szCs w:val="24"/>
          <w:rtl/>
        </w:rPr>
        <w:t xml:space="preserve">המשותפת </w:t>
      </w:r>
      <w:r>
        <w:rPr>
          <w:rFonts w:ascii="David" w:hAnsi="David" w:cs="David"/>
          <w:sz w:val="24"/>
          <w:szCs w:val="24"/>
          <w:rtl/>
        </w:rPr>
        <w:t xml:space="preserve">(עמ' 21, ש' 4-10). </w:t>
      </w:r>
    </w:p>
    <w:p w:rsidR="00AD7A83" w:rsidRPr="00A41A58"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t>האם ציינה כי הפניה להקפאת כרטיסי הטיסה חזור ל</w:t>
      </w:r>
      <w:r w:rsidR="00F8253F">
        <w:rPr>
          <w:rFonts w:ascii="David" w:hAnsi="David" w:cs="David"/>
          <w:sz w:val="24"/>
          <w:szCs w:val="24"/>
          <w:rtl/>
        </w:rPr>
        <w:t>...</w:t>
      </w:r>
      <w:r>
        <w:rPr>
          <w:rFonts w:ascii="David" w:hAnsi="David" w:cs="David"/>
          <w:sz w:val="24"/>
          <w:szCs w:val="24"/>
          <w:rtl/>
        </w:rPr>
        <w:t xml:space="preserve"> הייתה יוזמה של ב"כ האב והכל מתוך הבנה שהאם והקטינים נשארים בישראל (עמ' 21, ש' 15-17).</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t>האם הבהירה בעדותה כי הפעם היחידה שבה נאמר לה (לפני הגשת התובענה שבכותרת) כי יש צורך להשיב את הקטינים ל</w:t>
      </w:r>
      <w:r w:rsidR="00F8253F">
        <w:rPr>
          <w:rFonts w:ascii="David" w:hAnsi="David" w:cs="David"/>
          <w:sz w:val="24"/>
          <w:szCs w:val="24"/>
          <w:rtl/>
        </w:rPr>
        <w:t>...</w:t>
      </w:r>
      <w:r>
        <w:rPr>
          <w:rFonts w:ascii="David" w:hAnsi="David" w:cs="David"/>
          <w:sz w:val="24"/>
          <w:szCs w:val="24"/>
          <w:rtl/>
        </w:rPr>
        <w:t xml:space="preserve"> הייתה בדיון בבית ה</w:t>
      </w:r>
      <w:r w:rsidR="00A41A58">
        <w:rPr>
          <w:rFonts w:ascii="David" w:hAnsi="David" w:cs="David"/>
          <w:sz w:val="24"/>
          <w:szCs w:val="24"/>
          <w:rtl/>
        </w:rPr>
        <w:t>דין הרבני ביום 30.06.2024 ו</w:t>
      </w:r>
      <w:r w:rsidR="00A41A58">
        <w:rPr>
          <w:rFonts w:ascii="David" w:hAnsi="David" w:cs="David" w:hint="cs"/>
          <w:sz w:val="24"/>
          <w:szCs w:val="24"/>
          <w:rtl/>
        </w:rPr>
        <w:t xml:space="preserve">הדבר </w:t>
      </w:r>
      <w:r w:rsidR="00A41A58">
        <w:rPr>
          <w:rFonts w:ascii="David" w:hAnsi="David" w:cs="David"/>
          <w:sz w:val="24"/>
          <w:szCs w:val="24"/>
          <w:rtl/>
        </w:rPr>
        <w:t>נאמר</w:t>
      </w:r>
      <w:r>
        <w:rPr>
          <w:rFonts w:ascii="David" w:hAnsi="David" w:cs="David"/>
          <w:sz w:val="24"/>
          <w:szCs w:val="24"/>
          <w:rtl/>
        </w:rPr>
        <w:t xml:space="preserve"> לראשונה מפיו של ב"כ הנוכחי של האב זאת כאשר ב"כ </w:t>
      </w:r>
      <w:r w:rsidR="00B05D2F">
        <w:rPr>
          <w:rFonts w:ascii="David" w:hAnsi="David" w:cs="David" w:hint="cs"/>
          <w:sz w:val="24"/>
          <w:szCs w:val="24"/>
          <w:rtl/>
        </w:rPr>
        <w:t xml:space="preserve">האב </w:t>
      </w:r>
      <w:r>
        <w:rPr>
          <w:rFonts w:ascii="David" w:hAnsi="David" w:cs="David"/>
          <w:sz w:val="24"/>
          <w:szCs w:val="24"/>
          <w:rtl/>
        </w:rPr>
        <w:t xml:space="preserve">עד לאותו מועד (עו"ד סולומון) נתן הסכמה מפורשת לכך שהקטינים ימשיכו להתגורר בישראל (עמ' 21, ש' 21-25). </w:t>
      </w:r>
    </w:p>
    <w:p w:rsidR="00AD7A83" w:rsidRDefault="00AD7A83" w:rsidP="009863FF">
      <w:pPr>
        <w:pStyle w:val="ad"/>
        <w:spacing w:after="0" w:line="360" w:lineRule="auto"/>
        <w:ind w:left="1440"/>
        <w:jc w:val="both"/>
        <w:rPr>
          <w:rFonts w:ascii="David" w:hAnsi="David" w:cs="David"/>
          <w:sz w:val="24"/>
          <w:szCs w:val="24"/>
        </w:rPr>
      </w:pPr>
    </w:p>
    <w:p w:rsidR="00AD7A83" w:rsidRDefault="00B131D1"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 xml:space="preserve">האם העידה כי </w:t>
      </w:r>
      <w:r w:rsidR="00AD7A83">
        <w:rPr>
          <w:rFonts w:ascii="David" w:hAnsi="David" w:cs="David"/>
          <w:sz w:val="24"/>
          <w:szCs w:val="24"/>
          <w:rtl/>
        </w:rPr>
        <w:t>בשיחה שקיים האב עם הקטינים</w:t>
      </w:r>
      <w:r>
        <w:rPr>
          <w:rFonts w:ascii="David" w:hAnsi="David" w:cs="David" w:hint="cs"/>
          <w:sz w:val="24"/>
          <w:szCs w:val="24"/>
          <w:rtl/>
        </w:rPr>
        <w:t>,</w:t>
      </w:r>
      <w:r w:rsidR="00AD7A83">
        <w:rPr>
          <w:rFonts w:ascii="David" w:hAnsi="David" w:cs="David"/>
          <w:sz w:val="24"/>
          <w:szCs w:val="24"/>
          <w:rtl/>
        </w:rPr>
        <w:t xml:space="preserve"> הוא הודיע להם שיגיע לבקר אותם ויביא להם מתנות (שם, ש' 25). טענה זו אף קיבלה ביטוי בעדותו של האב מיום 12.08.2024 במסגרתה אישר כי אכן התקיימה שיחה כזו שבה אף הודיעו לו הקטינים שהם עברו להתגורר בדירה חדשה </w:t>
      </w:r>
      <w:r>
        <w:rPr>
          <w:rFonts w:ascii="David" w:hAnsi="David" w:cs="David" w:hint="cs"/>
          <w:sz w:val="24"/>
          <w:szCs w:val="24"/>
          <w:rtl/>
        </w:rPr>
        <w:t>בישראל והוא לא הביע בפניהם עמדה לפיה הוא עומד על כך שישובו ל</w:t>
      </w:r>
      <w:r w:rsidR="00F8253F">
        <w:rPr>
          <w:rFonts w:ascii="David" w:hAnsi="David" w:cs="David" w:hint="cs"/>
          <w:sz w:val="24"/>
          <w:szCs w:val="24"/>
          <w:rtl/>
        </w:rPr>
        <w:t>...</w:t>
      </w:r>
      <w:r>
        <w:rPr>
          <w:rFonts w:ascii="David" w:hAnsi="David" w:cs="David" w:hint="cs"/>
          <w:sz w:val="24"/>
          <w:szCs w:val="24"/>
          <w:rtl/>
        </w:rPr>
        <w:t xml:space="preserve"> </w:t>
      </w:r>
      <w:r w:rsidR="00AD7A83">
        <w:rPr>
          <w:rFonts w:ascii="David" w:hAnsi="David" w:cs="David"/>
          <w:sz w:val="24"/>
          <w:szCs w:val="24"/>
          <w:rtl/>
        </w:rPr>
        <w:t>(עמ' 4, ש' 22-28).</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t xml:space="preserve">האם ציינה את הפתעתה הגמורה מעצם הגשת התביעה שבכותרת שכן עד לאותו רגע ההתנהלות הייתה מתוך הסכמה, כאשר ברור שהקטינים ימשיכו להתגורר בישראל (עמ' 21, ש' 27-32).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t xml:space="preserve">ביחס לפרוטוקול הדיון בבית הדין הרבני (ראו סעיף </w:t>
      </w:r>
      <w:r w:rsidR="00B131D1">
        <w:rPr>
          <w:rFonts w:ascii="David" w:hAnsi="David" w:cs="David"/>
          <w:sz w:val="24"/>
          <w:szCs w:val="24"/>
          <w:rtl/>
        </w:rPr>
        <w:t xml:space="preserve">5 לעיל) הבהירה האם כי דברי </w:t>
      </w:r>
      <w:r>
        <w:rPr>
          <w:rFonts w:ascii="David" w:hAnsi="David" w:cs="David"/>
          <w:sz w:val="24"/>
          <w:szCs w:val="24"/>
          <w:rtl/>
        </w:rPr>
        <w:t>טוען רבני שיינין,</w:t>
      </w:r>
      <w:r w:rsidR="00B131D1">
        <w:rPr>
          <w:rFonts w:ascii="David" w:hAnsi="David" w:cs="David" w:hint="cs"/>
          <w:sz w:val="24"/>
          <w:szCs w:val="24"/>
          <w:rtl/>
        </w:rPr>
        <w:t xml:space="preserve"> שייצג אותה בבית הדין הרבני,</w:t>
      </w:r>
      <w:r w:rsidR="00B131D1">
        <w:rPr>
          <w:rFonts w:ascii="David" w:hAnsi="David" w:cs="David"/>
          <w:sz w:val="24"/>
          <w:szCs w:val="24"/>
          <w:rtl/>
        </w:rPr>
        <w:t xml:space="preserve"> </w:t>
      </w:r>
      <w:r w:rsidR="00B131D1">
        <w:rPr>
          <w:rFonts w:ascii="David" w:hAnsi="David" w:cs="David" w:hint="cs"/>
          <w:sz w:val="24"/>
          <w:szCs w:val="24"/>
          <w:rtl/>
        </w:rPr>
        <w:t>ש</w:t>
      </w:r>
      <w:r>
        <w:rPr>
          <w:rFonts w:ascii="David" w:hAnsi="David" w:cs="David"/>
          <w:sz w:val="24"/>
          <w:szCs w:val="24"/>
          <w:rtl/>
        </w:rPr>
        <w:t>אין כל הסכמה בעניין הקטינים</w:t>
      </w:r>
      <w:r w:rsidR="00B131D1">
        <w:rPr>
          <w:rFonts w:ascii="David" w:hAnsi="David" w:cs="David" w:hint="cs"/>
          <w:sz w:val="24"/>
          <w:szCs w:val="24"/>
          <w:rtl/>
        </w:rPr>
        <w:t>,</w:t>
      </w:r>
      <w:r>
        <w:rPr>
          <w:rFonts w:ascii="David" w:hAnsi="David" w:cs="David"/>
          <w:sz w:val="24"/>
          <w:szCs w:val="24"/>
          <w:rtl/>
        </w:rPr>
        <w:t xml:space="preserve"> מתייחסים לאמירתו החדשה של ב"כ האב בדיון </w:t>
      </w:r>
      <w:r w:rsidR="00B131D1">
        <w:rPr>
          <w:rFonts w:ascii="David" w:hAnsi="David" w:cs="David" w:hint="cs"/>
          <w:sz w:val="24"/>
          <w:szCs w:val="24"/>
          <w:rtl/>
        </w:rPr>
        <w:t xml:space="preserve">בבד"ר </w:t>
      </w:r>
      <w:r>
        <w:rPr>
          <w:rFonts w:ascii="David" w:hAnsi="David" w:cs="David"/>
          <w:sz w:val="24"/>
          <w:szCs w:val="24"/>
          <w:rtl/>
        </w:rPr>
        <w:t>כי על הקטינים לשוב להתגורר בחו"ל, כאשר ב"כ האם השיב באופן מידי בעניין זה כי מדובר בחריגה מסיכום קודם וכי דברי ב"כ בעניין חוסר ההסכמה לעניין הקטינים, נועדו על מנת להבהיר שההסכמה להעברת הדרכונים של הקטינים לידי האם, אינה כוללת הסכמה להשבת הקטינים לחו"ל (עמ' 22, שורה 1-3).</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sidRPr="00F209D7">
        <w:rPr>
          <w:rFonts w:ascii="David" w:hAnsi="David" w:cs="David"/>
          <w:sz w:val="24"/>
          <w:szCs w:val="24"/>
          <w:rtl/>
        </w:rPr>
        <w:t>למרות ניסיונו של ב"כ האב להציג את דבריה של האם כסותרים את עדותה מיום</w:t>
      </w:r>
      <w:r>
        <w:rPr>
          <w:rFonts w:ascii="David" w:hAnsi="David" w:cs="David"/>
          <w:sz w:val="24"/>
          <w:szCs w:val="24"/>
          <w:rtl/>
        </w:rPr>
        <w:t xml:space="preserve"> 12.08.2024, האם השיבה באופן קוהרנטי והבהירה שעדות</w:t>
      </w:r>
      <w:r w:rsidR="00F209D7">
        <w:rPr>
          <w:rFonts w:ascii="David" w:hAnsi="David" w:cs="David"/>
          <w:sz w:val="24"/>
          <w:szCs w:val="24"/>
          <w:rtl/>
        </w:rPr>
        <w:t>ה הקודמת התייחסה לנסיבות שמלמד</w:t>
      </w:r>
      <w:r w:rsidR="00F209D7">
        <w:rPr>
          <w:rFonts w:ascii="David" w:hAnsi="David" w:cs="David" w:hint="cs"/>
          <w:sz w:val="24"/>
          <w:szCs w:val="24"/>
          <w:rtl/>
        </w:rPr>
        <w:t>ות</w:t>
      </w:r>
      <w:r>
        <w:rPr>
          <w:rFonts w:ascii="David" w:hAnsi="David" w:cs="David"/>
          <w:sz w:val="24"/>
          <w:szCs w:val="24"/>
          <w:rtl/>
        </w:rPr>
        <w:t xml:space="preserve"> לשיטתה על הסכמה של האב (השיחה עם הקטינים, כפי המתועד בעמ' 6, שורה 29) </w:t>
      </w:r>
      <w:r>
        <w:rPr>
          <w:rFonts w:ascii="David" w:hAnsi="David" w:cs="David"/>
          <w:sz w:val="24"/>
          <w:szCs w:val="24"/>
          <w:rtl/>
        </w:rPr>
        <w:lastRenderedPageBreak/>
        <w:t xml:space="preserve">ואילו בעדותה במועד שמיעת ההוכחות היא התייחסה להסכמה רחבה יותר שבאה לידי ביטוי גם במסגרת דברים מפורשים שנאמרו ע"י המתווכים </w:t>
      </w:r>
      <w:r w:rsidR="00953C0A">
        <w:rPr>
          <w:rFonts w:ascii="David" w:hAnsi="David" w:cs="David" w:hint="cs"/>
          <w:sz w:val="24"/>
          <w:szCs w:val="24"/>
          <w:rtl/>
        </w:rPr>
        <w:t xml:space="preserve">ושלא ציינה אותם בעדותה בדיון הראשון </w:t>
      </w:r>
      <w:r>
        <w:rPr>
          <w:rFonts w:ascii="David" w:hAnsi="David" w:cs="David"/>
          <w:sz w:val="24"/>
          <w:szCs w:val="24"/>
          <w:rtl/>
        </w:rPr>
        <w:t>(עמ' 22, ש' 4-21).</w:t>
      </w:r>
    </w:p>
    <w:p w:rsidR="00AD7A83" w:rsidRPr="00953C0A"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t xml:space="preserve">האם ציינה </w:t>
      </w:r>
      <w:r w:rsidR="00953C0A">
        <w:rPr>
          <w:rFonts w:ascii="David" w:hAnsi="David" w:cs="David" w:hint="cs"/>
          <w:sz w:val="24"/>
          <w:szCs w:val="24"/>
          <w:rtl/>
        </w:rPr>
        <w:t xml:space="preserve">עוד </w:t>
      </w:r>
      <w:r>
        <w:rPr>
          <w:rFonts w:ascii="David" w:hAnsi="David" w:cs="David"/>
          <w:sz w:val="24"/>
          <w:szCs w:val="24"/>
          <w:rtl/>
        </w:rPr>
        <w:t>בעדותה</w:t>
      </w:r>
      <w:r w:rsidR="00953C0A">
        <w:rPr>
          <w:rFonts w:ascii="David" w:hAnsi="David" w:cs="David" w:hint="cs"/>
          <w:sz w:val="24"/>
          <w:szCs w:val="24"/>
          <w:rtl/>
        </w:rPr>
        <w:t>,</w:t>
      </w:r>
      <w:r>
        <w:rPr>
          <w:rFonts w:ascii="David" w:hAnsi="David" w:cs="David"/>
          <w:sz w:val="24"/>
          <w:szCs w:val="24"/>
          <w:rtl/>
        </w:rPr>
        <w:t xml:space="preserve"> שהצדדים </w:t>
      </w:r>
      <w:r w:rsidR="00953C0A">
        <w:rPr>
          <w:rFonts w:ascii="David" w:hAnsi="David" w:cs="David"/>
          <w:sz w:val="24"/>
          <w:szCs w:val="24"/>
          <w:rtl/>
        </w:rPr>
        <w:t>התגוררו בחו"ל במשך 8 שנים מטעמ</w:t>
      </w:r>
      <w:r w:rsidR="00953C0A">
        <w:rPr>
          <w:rFonts w:ascii="David" w:hAnsi="David" w:cs="David" w:hint="cs"/>
          <w:sz w:val="24"/>
          <w:szCs w:val="24"/>
          <w:rtl/>
        </w:rPr>
        <w:t>ים הקשורים</w:t>
      </w:r>
      <w:r>
        <w:rPr>
          <w:rFonts w:ascii="David" w:hAnsi="David" w:cs="David"/>
          <w:sz w:val="24"/>
          <w:szCs w:val="24"/>
          <w:rtl/>
        </w:rPr>
        <w:t xml:space="preserve"> </w:t>
      </w:r>
      <w:r w:rsidR="00953C0A">
        <w:rPr>
          <w:rFonts w:ascii="David" w:hAnsi="David" w:cs="David" w:hint="cs"/>
          <w:sz w:val="24"/>
          <w:szCs w:val="24"/>
          <w:rtl/>
        </w:rPr>
        <w:t>ב</w:t>
      </w:r>
      <w:r>
        <w:rPr>
          <w:rFonts w:ascii="David" w:hAnsi="David" w:cs="David"/>
          <w:sz w:val="24"/>
          <w:szCs w:val="24"/>
          <w:rtl/>
        </w:rPr>
        <w:t xml:space="preserve">אב וזאת למרות </w:t>
      </w:r>
      <w:r w:rsidR="00953C0A">
        <w:rPr>
          <w:rFonts w:ascii="David" w:hAnsi="David" w:cs="David"/>
          <w:sz w:val="24"/>
          <w:szCs w:val="24"/>
          <w:rtl/>
        </w:rPr>
        <w:t>שכל משפחתם מתגוררת בישראל, ו</w:t>
      </w:r>
      <w:r w:rsidR="00953C0A">
        <w:rPr>
          <w:rFonts w:ascii="David" w:hAnsi="David" w:cs="David" w:hint="cs"/>
          <w:sz w:val="24"/>
          <w:szCs w:val="24"/>
          <w:rtl/>
        </w:rPr>
        <w:t>עובדה זו</w:t>
      </w:r>
      <w:r>
        <w:rPr>
          <w:rFonts w:ascii="David" w:hAnsi="David" w:cs="David"/>
          <w:sz w:val="24"/>
          <w:szCs w:val="24"/>
          <w:rtl/>
        </w:rPr>
        <w:t xml:space="preserve"> לדבריה הייתה </w:t>
      </w:r>
      <w:r w:rsidR="00953C0A">
        <w:rPr>
          <w:rFonts w:ascii="David" w:hAnsi="David" w:cs="David" w:hint="cs"/>
          <w:sz w:val="24"/>
          <w:szCs w:val="24"/>
          <w:rtl/>
        </w:rPr>
        <w:t>הבסיס ל</w:t>
      </w:r>
      <w:r>
        <w:rPr>
          <w:rFonts w:ascii="David" w:hAnsi="David" w:cs="David"/>
          <w:sz w:val="24"/>
          <w:szCs w:val="24"/>
          <w:rtl/>
        </w:rPr>
        <w:t xml:space="preserve">הבנה ברורה כי היא והקטינים נשארים להתגורר בישראל (עמ' 23, ש' 12-14).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3"/>
        </w:numPr>
        <w:spacing w:after="0" w:line="360" w:lineRule="auto"/>
        <w:jc w:val="both"/>
        <w:rPr>
          <w:rFonts w:ascii="David" w:hAnsi="David" w:cs="David"/>
          <w:sz w:val="24"/>
          <w:szCs w:val="24"/>
        </w:rPr>
      </w:pPr>
      <w:r>
        <w:rPr>
          <w:rFonts w:ascii="David" w:hAnsi="David" w:cs="David"/>
          <w:sz w:val="24"/>
          <w:szCs w:val="24"/>
          <w:rtl/>
        </w:rPr>
        <w:t>האם ציינה גם כן</w:t>
      </w:r>
      <w:r w:rsidR="00953C0A">
        <w:rPr>
          <w:rFonts w:ascii="David" w:hAnsi="David" w:cs="David" w:hint="cs"/>
          <w:sz w:val="24"/>
          <w:szCs w:val="24"/>
          <w:rtl/>
        </w:rPr>
        <w:t>,</w:t>
      </w:r>
      <w:r w:rsidR="00953C0A">
        <w:rPr>
          <w:rFonts w:ascii="David" w:hAnsi="David" w:cs="David"/>
          <w:sz w:val="24"/>
          <w:szCs w:val="24"/>
          <w:rtl/>
        </w:rPr>
        <w:t xml:space="preserve"> כי הסיבה שעד כה לא הוגשו תביע</w:t>
      </w:r>
      <w:r w:rsidR="00953C0A">
        <w:rPr>
          <w:rFonts w:ascii="David" w:hAnsi="David" w:cs="David" w:hint="cs"/>
          <w:sz w:val="24"/>
          <w:szCs w:val="24"/>
          <w:rtl/>
        </w:rPr>
        <w:t>ו</w:t>
      </w:r>
      <w:r w:rsidR="00953C0A">
        <w:rPr>
          <w:rFonts w:ascii="David" w:hAnsi="David" w:cs="David"/>
          <w:sz w:val="24"/>
          <w:szCs w:val="24"/>
          <w:rtl/>
        </w:rPr>
        <w:t>ת</w:t>
      </w:r>
      <w:r>
        <w:rPr>
          <w:rFonts w:ascii="David" w:hAnsi="David" w:cs="David"/>
          <w:sz w:val="24"/>
          <w:szCs w:val="24"/>
          <w:rtl/>
        </w:rPr>
        <w:t xml:space="preserve"> מטעמה נובעת מהעובדה שהצדדים ניהלו משא ומתן ו</w:t>
      </w:r>
      <w:r w:rsidR="00953C0A">
        <w:rPr>
          <w:rFonts w:ascii="David" w:hAnsi="David" w:cs="David" w:hint="cs"/>
          <w:sz w:val="24"/>
          <w:szCs w:val="24"/>
          <w:rtl/>
        </w:rPr>
        <w:t>מכך ש</w:t>
      </w:r>
      <w:r>
        <w:rPr>
          <w:rFonts w:ascii="David" w:hAnsi="David" w:cs="David"/>
          <w:sz w:val="24"/>
          <w:szCs w:val="24"/>
          <w:rtl/>
        </w:rPr>
        <w:t xml:space="preserve">הייתה סבורה שיגיעו להסכם ללא צורך בבירור משפטי (עמ' 23, ש' 25-26).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בנוסף לעדויות הצדדים, נשמעה עדותו של טוען רבני מרדכי שיינין, אשר ייצג את הנתבעת בהליך בבית הדין הרבני ומעדותו נלמדו העניינים הבאים: </w:t>
      </w:r>
    </w:p>
    <w:p w:rsidR="0008539F" w:rsidRDefault="0008539F" w:rsidP="0008539F">
      <w:pPr>
        <w:pStyle w:val="ad"/>
        <w:spacing w:after="0" w:line="360" w:lineRule="auto"/>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להבנתו של העד, כבר בשלב השיחה הראשונית של האם עם האב ביום 10.06.2024 הייתה הסכמה שהקטינים ימשיכו להתגורר בישראל (עמ' 26, ש' 18).</w:t>
      </w: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lastRenderedPageBreak/>
        <w:t>העד ציין כי ייצג בהליך בבית הדין הרבני מתחילתו</w:t>
      </w:r>
      <w:r w:rsidR="00044BE1">
        <w:rPr>
          <w:rFonts w:ascii="David" w:hAnsi="David" w:cs="David" w:hint="cs"/>
          <w:sz w:val="24"/>
          <w:szCs w:val="24"/>
          <w:rtl/>
        </w:rPr>
        <w:t>,</w:t>
      </w:r>
      <w:r w:rsidR="00044BE1">
        <w:rPr>
          <w:rFonts w:ascii="David" w:hAnsi="David" w:cs="David"/>
          <w:sz w:val="24"/>
          <w:szCs w:val="24"/>
          <w:rtl/>
        </w:rPr>
        <w:t xml:space="preserve"> </w:t>
      </w:r>
      <w:r w:rsidR="00044BE1">
        <w:rPr>
          <w:rFonts w:ascii="David" w:hAnsi="David" w:cs="David" w:hint="cs"/>
          <w:sz w:val="24"/>
          <w:szCs w:val="24"/>
          <w:rtl/>
        </w:rPr>
        <w:t xml:space="preserve">כי </w:t>
      </w:r>
      <w:r>
        <w:rPr>
          <w:rFonts w:ascii="David" w:hAnsi="David" w:cs="David"/>
          <w:sz w:val="24"/>
          <w:szCs w:val="24"/>
          <w:rtl/>
        </w:rPr>
        <w:t>רק בשלב מאוחר יותר הוגשה הודעה על ייצוג מטעם עו"ד סולומון וכי הוא ועו"ד סול</w:t>
      </w:r>
      <w:r w:rsidR="00044BE1">
        <w:rPr>
          <w:rFonts w:ascii="David" w:hAnsi="David" w:cs="David"/>
          <w:sz w:val="24"/>
          <w:szCs w:val="24"/>
          <w:rtl/>
        </w:rPr>
        <w:t>ומון ניהלו משא ומתן, כאשר גם ב</w:t>
      </w:r>
      <w:r w:rsidR="00044BE1">
        <w:rPr>
          <w:rFonts w:ascii="David" w:hAnsi="David" w:cs="David" w:hint="cs"/>
          <w:sz w:val="24"/>
          <w:szCs w:val="24"/>
          <w:rtl/>
        </w:rPr>
        <w:t>מהלך המשא ומתן</w:t>
      </w:r>
      <w:r>
        <w:rPr>
          <w:rFonts w:ascii="David" w:hAnsi="David" w:cs="David"/>
          <w:sz w:val="24"/>
          <w:szCs w:val="24"/>
          <w:rtl/>
        </w:rPr>
        <w:t xml:space="preserve"> הייתה הבנה ברורה שהאם והקטינים נשארים להתגורר בישראל וכי בפרטי המשא ומ</w:t>
      </w:r>
      <w:r w:rsidR="00044BE1">
        <w:rPr>
          <w:rFonts w:ascii="David" w:hAnsi="David" w:cs="David"/>
          <w:sz w:val="24"/>
          <w:szCs w:val="24"/>
          <w:rtl/>
        </w:rPr>
        <w:t xml:space="preserve">תן שבין הצדדים נכללו גם הסכמות </w:t>
      </w:r>
      <w:r w:rsidR="00044BE1">
        <w:rPr>
          <w:rFonts w:ascii="David" w:hAnsi="David" w:cs="David" w:hint="cs"/>
          <w:sz w:val="24"/>
          <w:szCs w:val="24"/>
          <w:rtl/>
        </w:rPr>
        <w:t>ל</w:t>
      </w:r>
      <w:r>
        <w:rPr>
          <w:rFonts w:ascii="David" w:hAnsi="David" w:cs="David"/>
          <w:sz w:val="24"/>
          <w:szCs w:val="24"/>
          <w:rtl/>
        </w:rPr>
        <w:t xml:space="preserve">עניין מזונות, </w:t>
      </w:r>
      <w:r w:rsidR="00044BE1">
        <w:rPr>
          <w:rFonts w:ascii="David" w:hAnsi="David" w:cs="David" w:hint="cs"/>
          <w:sz w:val="24"/>
          <w:szCs w:val="24"/>
          <w:rtl/>
        </w:rPr>
        <w:t>ה</w:t>
      </w:r>
      <w:r>
        <w:rPr>
          <w:rFonts w:ascii="David" w:hAnsi="David" w:cs="David"/>
          <w:sz w:val="24"/>
          <w:szCs w:val="24"/>
          <w:rtl/>
        </w:rPr>
        <w:t>רכוש וענייני הקטינים (שם, ש' 15-27).</w:t>
      </w:r>
    </w:p>
    <w:p w:rsidR="00AD7A83" w:rsidRPr="00044BE1"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אלא שלדברי העד על אף הסכמות מוקדמות בינו לבין עו"ד סולומון, לפתע הצטרף לתיק ב"כ הנוכחי של התובע אשר התנהל במנותק מעו"ד סולומון ועל כן פנה</w:t>
      </w:r>
      <w:r w:rsidR="00044BE1">
        <w:rPr>
          <w:rFonts w:ascii="David" w:hAnsi="David" w:cs="David" w:hint="cs"/>
          <w:sz w:val="24"/>
          <w:szCs w:val="24"/>
          <w:rtl/>
        </w:rPr>
        <w:t xml:space="preserve"> העד</w:t>
      </w:r>
      <w:r>
        <w:rPr>
          <w:rFonts w:ascii="David" w:hAnsi="David" w:cs="David"/>
          <w:sz w:val="24"/>
          <w:szCs w:val="24"/>
          <w:rtl/>
        </w:rPr>
        <w:t xml:space="preserve"> לעו"ד סולומון וביקש ממנו שהוא וב"כ הנוכחי של התובע יתאמו עמדות, שכן בעוד הם שוקדים על עריכת הסכם, ב"כ הנוכחי של האב עומד על סידור הגט בדחיפות לנוכח רצונו של האב לחזור ל</w:t>
      </w:r>
      <w:r w:rsidR="00F8253F">
        <w:rPr>
          <w:rFonts w:ascii="David" w:hAnsi="David" w:cs="David"/>
          <w:sz w:val="24"/>
          <w:szCs w:val="24"/>
          <w:rtl/>
        </w:rPr>
        <w:t>...</w:t>
      </w:r>
      <w:r>
        <w:rPr>
          <w:rFonts w:ascii="David" w:hAnsi="David" w:cs="David"/>
          <w:sz w:val="24"/>
          <w:szCs w:val="24"/>
          <w:rtl/>
        </w:rPr>
        <w:t xml:space="preserve">, </w:t>
      </w:r>
      <w:r w:rsidR="00044BE1">
        <w:rPr>
          <w:rFonts w:ascii="David" w:hAnsi="David" w:cs="David" w:hint="cs"/>
          <w:sz w:val="24"/>
          <w:szCs w:val="24"/>
          <w:rtl/>
        </w:rPr>
        <w:t xml:space="preserve">וזאת </w:t>
      </w:r>
      <w:r w:rsidR="00044BE1">
        <w:rPr>
          <w:rFonts w:ascii="David" w:hAnsi="David" w:cs="David"/>
          <w:sz w:val="24"/>
          <w:szCs w:val="24"/>
          <w:rtl/>
        </w:rPr>
        <w:t>במנותק מה</w:t>
      </w:r>
      <w:r w:rsidR="00044BE1">
        <w:rPr>
          <w:rFonts w:ascii="David" w:hAnsi="David" w:cs="David" w:hint="cs"/>
          <w:sz w:val="24"/>
          <w:szCs w:val="24"/>
          <w:rtl/>
        </w:rPr>
        <w:t>כוונה המוקדמת</w:t>
      </w:r>
      <w:r>
        <w:rPr>
          <w:rFonts w:ascii="David" w:hAnsi="David" w:cs="David"/>
          <w:sz w:val="24"/>
          <w:szCs w:val="24"/>
          <w:rtl/>
        </w:rPr>
        <w:t xml:space="preserve"> לערוך הסכם כולל (שם, ש' 30-34).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לדברי העד, ניהול המשא ומתן התקיים אל מול עו"ד סולומון ואילו ב"כ של האב פנה אליו אך ורק בעניין סידור הגט (עמ' 27, ש' 1-2).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העד הבהיר שוב ושוב כי מבלי להיכנס לפרטי המשא ומתן, הייתה הבנה ברו</w:t>
      </w:r>
      <w:r w:rsidR="00044BE1">
        <w:rPr>
          <w:rFonts w:ascii="David" w:hAnsi="David" w:cs="David"/>
          <w:sz w:val="24"/>
          <w:szCs w:val="24"/>
          <w:rtl/>
        </w:rPr>
        <w:t xml:space="preserve">רה שהצדדים עורכים הסכם הכולל </w:t>
      </w:r>
      <w:r w:rsidR="00044BE1">
        <w:rPr>
          <w:rFonts w:ascii="David" w:hAnsi="David" w:cs="David" w:hint="cs"/>
          <w:sz w:val="24"/>
          <w:szCs w:val="24"/>
          <w:rtl/>
        </w:rPr>
        <w:t>הסכמה ל</w:t>
      </w:r>
      <w:r>
        <w:rPr>
          <w:rFonts w:ascii="David" w:hAnsi="David" w:cs="David"/>
          <w:sz w:val="24"/>
          <w:szCs w:val="24"/>
          <w:rtl/>
        </w:rPr>
        <w:t xml:space="preserve">הישארות האם והקטינים בישראל (עמ' 27, ש' 5-6, וכן שם, ש' 36 ועמ' 28, ש' 1-3). </w:t>
      </w:r>
    </w:p>
    <w:p w:rsidR="00AD7A83" w:rsidRDefault="00AD7A83" w:rsidP="009863FF">
      <w:pPr>
        <w:pStyle w:val="ad"/>
        <w:spacing w:after="0" w:line="360" w:lineRule="auto"/>
        <w:ind w:left="1440"/>
        <w:jc w:val="both"/>
        <w:rPr>
          <w:rFonts w:ascii="David" w:hAnsi="David" w:cs="David"/>
          <w:sz w:val="24"/>
          <w:szCs w:val="24"/>
        </w:rPr>
      </w:pPr>
    </w:p>
    <w:p w:rsidR="00AD7A83" w:rsidRPr="00103CD8"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lastRenderedPageBreak/>
        <w:t>העד ציין כי המתין ל</w:t>
      </w:r>
      <w:r w:rsidR="00044BE1">
        <w:rPr>
          <w:rFonts w:ascii="David" w:hAnsi="David" w:cs="David"/>
          <w:sz w:val="24"/>
          <w:szCs w:val="24"/>
          <w:rtl/>
        </w:rPr>
        <w:t>קבלת טיוטת הסכם מעו"ד סולומון ע</w:t>
      </w:r>
      <w:r w:rsidR="00044BE1">
        <w:rPr>
          <w:rFonts w:ascii="David" w:hAnsi="David" w:cs="David" w:hint="cs"/>
          <w:sz w:val="24"/>
          <w:szCs w:val="24"/>
          <w:rtl/>
        </w:rPr>
        <w:t>ל</w:t>
      </w:r>
      <w:r>
        <w:rPr>
          <w:rFonts w:ascii="David" w:hAnsi="David" w:cs="David"/>
          <w:sz w:val="24"/>
          <w:szCs w:val="24"/>
          <w:rtl/>
        </w:rPr>
        <w:t xml:space="preserve"> יסוד ההסכמות בעל פה (שם, ש' 8), וזאת כפי שהדברים ב</w:t>
      </w:r>
      <w:r w:rsidR="00103CD8">
        <w:rPr>
          <w:rFonts w:ascii="David" w:hAnsi="David" w:cs="David"/>
          <w:sz w:val="24"/>
          <w:szCs w:val="24"/>
          <w:rtl/>
        </w:rPr>
        <w:t>אים לידי ביטוי גם בדוא</w:t>
      </w:r>
      <w:r w:rsidR="00103CD8">
        <w:rPr>
          <w:rFonts w:ascii="David" w:hAnsi="David" w:cs="David" w:hint="cs"/>
          <w:sz w:val="24"/>
          <w:szCs w:val="24"/>
          <w:rtl/>
        </w:rPr>
        <w:t>"ל</w:t>
      </w:r>
      <w:r>
        <w:rPr>
          <w:rFonts w:ascii="David" w:hAnsi="David" w:cs="David"/>
          <w:sz w:val="24"/>
          <w:szCs w:val="24"/>
          <w:rtl/>
        </w:rPr>
        <w:t xml:space="preserve"> ששלח עו"ד סולומון לעד ביום 24.06.2024 </w:t>
      </w:r>
      <w:r w:rsidR="00103CD8">
        <w:rPr>
          <w:rFonts w:ascii="David" w:hAnsi="David" w:cs="David" w:hint="cs"/>
          <w:sz w:val="24"/>
          <w:szCs w:val="24"/>
          <w:rtl/>
        </w:rPr>
        <w:t xml:space="preserve">ובו נכתב </w:t>
      </w:r>
      <w:r>
        <w:rPr>
          <w:rFonts w:ascii="David" w:hAnsi="David" w:cs="David"/>
          <w:sz w:val="24"/>
          <w:szCs w:val="24"/>
          <w:rtl/>
        </w:rPr>
        <w:t xml:space="preserve">כי הוא </w:t>
      </w:r>
      <w:r w:rsidR="00103CD8">
        <w:rPr>
          <w:rFonts w:ascii="David" w:hAnsi="David" w:cs="David" w:hint="cs"/>
          <w:sz w:val="24"/>
          <w:szCs w:val="24"/>
          <w:rtl/>
        </w:rPr>
        <w:t>"</w:t>
      </w:r>
      <w:r w:rsidRPr="00103CD8">
        <w:rPr>
          <w:rFonts w:ascii="David" w:hAnsi="David" w:cs="David"/>
          <w:i/>
          <w:iCs/>
          <w:sz w:val="24"/>
          <w:szCs w:val="24"/>
          <w:rtl/>
        </w:rPr>
        <w:t>שוקד על בניית הסכם</w:t>
      </w:r>
      <w:r w:rsidR="00103CD8">
        <w:rPr>
          <w:rFonts w:ascii="David" w:hAnsi="David" w:cs="David" w:hint="cs"/>
          <w:sz w:val="24"/>
          <w:szCs w:val="24"/>
          <w:rtl/>
        </w:rPr>
        <w:t xml:space="preserve">" </w:t>
      </w:r>
      <w:r w:rsidRPr="00103CD8">
        <w:rPr>
          <w:rFonts w:ascii="David" w:hAnsi="David" w:cs="David"/>
          <w:sz w:val="24"/>
          <w:szCs w:val="24"/>
          <w:rtl/>
        </w:rPr>
        <w:t xml:space="preserve">(ראו נספח 2 לכתב ההגנה).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לשאלת בית המשפט, הבהיר העד כי עו"ד סולומון הציג לו ייפוי כוח שנתחם ע"י האב כבר ביום 14.06.2024 ונשלח לו ביום 17.06.2024 ועל יסוד כך נוהל המשא ומתן בין ב"כ הצדדים (שם, ש' 12-14).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כפי שנלמד גם כן מעדותו של העד</w:t>
      </w:r>
      <w:r w:rsidR="00906C61">
        <w:rPr>
          <w:rFonts w:ascii="David" w:hAnsi="David" w:cs="David" w:hint="cs"/>
          <w:sz w:val="24"/>
          <w:szCs w:val="24"/>
          <w:rtl/>
        </w:rPr>
        <w:t>,</w:t>
      </w:r>
      <w:r>
        <w:rPr>
          <w:rFonts w:ascii="David" w:hAnsi="David" w:cs="David"/>
          <w:sz w:val="24"/>
          <w:szCs w:val="24"/>
          <w:rtl/>
        </w:rPr>
        <w:t xml:space="preserve"> ייפוי הכוח הנוסף שהוכנס לתיק בית הדין ע"י ב"כ הנוכחי של האב, נחתם ביום 24.06.2024 ונסרק לתיק ביום 25.06.2024 כאשר לא הוגשה לתיק כל בקשה להפסקת ייצוגו של עו"ד סולומון (עמ' 28, ש' 27-30).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העד הכחיש את הטענה כי לא הייתה כל הסכמה בעניין הקטינים והבהיר שדבריו בפרוטוקול הדיון בבית הדין הרבני לעניין חוסר ההסכמה (ראו סעיף 5 לעיל), התייחסו לדרישה החדשה של ב"כ הנוכחי של האב כי הקטינים ישובו לחו"ל ולדבריו מדובר היה </w:t>
      </w:r>
      <w:r w:rsidRPr="00906C61">
        <w:rPr>
          <w:rFonts w:ascii="David" w:hAnsi="David" w:cs="David"/>
          <w:sz w:val="24"/>
          <w:szCs w:val="24"/>
          <w:rtl/>
        </w:rPr>
        <w:t xml:space="preserve">ב </w:t>
      </w:r>
      <w:r w:rsidRPr="00906C61">
        <w:rPr>
          <w:rFonts w:ascii="David" w:hAnsi="David" w:cs="David"/>
          <w:i/>
          <w:iCs/>
          <w:sz w:val="24"/>
          <w:szCs w:val="24"/>
          <w:rtl/>
        </w:rPr>
        <w:t>"עז"</w:t>
      </w:r>
      <w:r>
        <w:rPr>
          <w:rFonts w:ascii="David" w:hAnsi="David" w:cs="David"/>
          <w:sz w:val="24"/>
          <w:szCs w:val="24"/>
          <w:rtl/>
        </w:rPr>
        <w:t xml:space="preserve"> שהוכנסה למשא ומתן ע"י ב"כ הנוכחי של האב רגע לפני סידור הגט, ומשכך הבהיר כי אין כל הסכמה בעניין זה (עמ' 29, ש' 5-8).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בסיום עדותו הבהיר העד כי עשה מס' ניסיונות להשיג את </w:t>
      </w:r>
      <w:r w:rsidR="0014143A">
        <w:rPr>
          <w:rFonts w:ascii="David" w:hAnsi="David" w:cs="David"/>
          <w:sz w:val="24"/>
          <w:szCs w:val="24"/>
          <w:rtl/>
        </w:rPr>
        <w:t>הרב ר'</w:t>
      </w:r>
      <w:r>
        <w:rPr>
          <w:rFonts w:ascii="David" w:hAnsi="David" w:cs="David"/>
          <w:sz w:val="24"/>
          <w:szCs w:val="24"/>
          <w:rtl/>
        </w:rPr>
        <w:t xml:space="preserve"> (המתווך מטעם האב), זאת ממספר מספרי טלפון, על מנת לה</w:t>
      </w:r>
      <w:r w:rsidR="00906C61">
        <w:rPr>
          <w:rFonts w:ascii="David" w:hAnsi="David" w:cs="David"/>
          <w:sz w:val="24"/>
          <w:szCs w:val="24"/>
          <w:rtl/>
        </w:rPr>
        <w:t>ודיע לו כי הוא מוזמן להעיד, א</w:t>
      </w:r>
      <w:r w:rsidR="00906C61">
        <w:rPr>
          <w:rFonts w:ascii="David" w:hAnsi="David" w:cs="David" w:hint="cs"/>
          <w:sz w:val="24"/>
          <w:szCs w:val="24"/>
          <w:rtl/>
        </w:rPr>
        <w:t>ך</w:t>
      </w:r>
      <w:r>
        <w:rPr>
          <w:rFonts w:ascii="David" w:hAnsi="David" w:cs="David"/>
          <w:sz w:val="24"/>
          <w:szCs w:val="24"/>
          <w:rtl/>
        </w:rPr>
        <w:t xml:space="preserve"> ללא הצלחה (עמ' 29, ש' 30-31).</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מצאתי את עדותו של טו"ר שיינין מהימנה וקוהרנטית ולא מצאתי ממש בניסיונו של ב"כ האב להטיל דופי בעדותו. </w:t>
      </w:r>
    </w:p>
    <w:p w:rsidR="00AD7A83" w:rsidRDefault="00AD7A83" w:rsidP="009863FF">
      <w:pPr>
        <w:pStyle w:val="ad"/>
        <w:spacing w:after="0" w:line="360" w:lineRule="auto"/>
        <w:jc w:val="both"/>
        <w:rPr>
          <w:rFonts w:ascii="David" w:hAnsi="David" w:cs="David"/>
          <w:sz w:val="24"/>
          <w:szCs w:val="24"/>
        </w:rPr>
      </w:pPr>
    </w:p>
    <w:p w:rsidR="00906C61"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w:t>
      </w:r>
      <w:r w:rsidR="0014143A">
        <w:rPr>
          <w:rFonts w:ascii="David" w:hAnsi="David" w:cs="David"/>
          <w:sz w:val="24"/>
          <w:szCs w:val="24"/>
          <w:rtl/>
        </w:rPr>
        <w:t>בסוף, נשמעה גם עדותו של הרב י</w:t>
      </w:r>
      <w:r w:rsidR="0014143A">
        <w:rPr>
          <w:rFonts w:ascii="David" w:hAnsi="David" w:cs="David" w:hint="cs"/>
          <w:sz w:val="24"/>
          <w:szCs w:val="24"/>
          <w:rtl/>
        </w:rPr>
        <w:t>.</w:t>
      </w:r>
      <w:r w:rsidR="0014143A">
        <w:rPr>
          <w:rFonts w:ascii="David" w:hAnsi="David" w:cs="David"/>
          <w:sz w:val="24"/>
          <w:szCs w:val="24"/>
          <w:rtl/>
        </w:rPr>
        <w:t xml:space="preserve"> א</w:t>
      </w:r>
      <w:r w:rsidR="0014143A">
        <w:rPr>
          <w:rFonts w:ascii="David" w:hAnsi="David" w:cs="David" w:hint="cs"/>
          <w:sz w:val="24"/>
          <w:szCs w:val="24"/>
          <w:rtl/>
        </w:rPr>
        <w:t>.</w:t>
      </w:r>
      <w:r>
        <w:rPr>
          <w:rFonts w:ascii="David" w:hAnsi="David" w:cs="David"/>
          <w:sz w:val="24"/>
          <w:szCs w:val="24"/>
          <w:rtl/>
        </w:rPr>
        <w:t xml:space="preserve"> אשר שימש כמתווך מטעם האם וניהל </w:t>
      </w:r>
      <w:r w:rsidR="00906C61">
        <w:rPr>
          <w:rFonts w:ascii="David" w:hAnsi="David" w:cs="David" w:hint="cs"/>
          <w:sz w:val="24"/>
          <w:szCs w:val="24"/>
          <w:rtl/>
        </w:rPr>
        <w:t>ה</w:t>
      </w:r>
      <w:r>
        <w:rPr>
          <w:rFonts w:ascii="David" w:hAnsi="David" w:cs="David"/>
          <w:sz w:val="24"/>
          <w:szCs w:val="24"/>
          <w:rtl/>
        </w:rPr>
        <w:t>משא ומתן אל מול מתווך מטעם האב (</w:t>
      </w:r>
      <w:r w:rsidR="0014143A">
        <w:rPr>
          <w:rFonts w:ascii="David" w:hAnsi="David" w:cs="David"/>
          <w:sz w:val="24"/>
          <w:szCs w:val="24"/>
          <w:rtl/>
        </w:rPr>
        <w:t>הרב ר'</w:t>
      </w:r>
      <w:r>
        <w:rPr>
          <w:rFonts w:ascii="David" w:hAnsi="David" w:cs="David"/>
          <w:sz w:val="24"/>
          <w:szCs w:val="24"/>
          <w:rtl/>
        </w:rPr>
        <w:t>) ומעדותו נלמדו העניינים הבאים:</w:t>
      </w:r>
    </w:p>
    <w:p w:rsidR="00AD7A83" w:rsidRDefault="00AD7A83" w:rsidP="009863FF">
      <w:pPr>
        <w:pStyle w:val="ad"/>
        <w:spacing w:after="0" w:line="360" w:lineRule="auto"/>
        <w:jc w:val="both"/>
        <w:rPr>
          <w:rFonts w:ascii="David" w:hAnsi="David" w:cs="David"/>
          <w:sz w:val="24"/>
          <w:szCs w:val="24"/>
        </w:rPr>
      </w:pPr>
      <w:r>
        <w:rPr>
          <w:rFonts w:ascii="David" w:hAnsi="David" w:cs="David"/>
          <w:sz w:val="24"/>
          <w:szCs w:val="24"/>
          <w:rtl/>
        </w:rPr>
        <w:t xml:space="preserve"> </w:t>
      </w: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t xml:space="preserve">בסמוך להגשת התביעה, פנה אליו </w:t>
      </w:r>
      <w:r w:rsidR="0014143A">
        <w:rPr>
          <w:rFonts w:ascii="David" w:hAnsi="David" w:cs="David"/>
          <w:sz w:val="24"/>
          <w:szCs w:val="24"/>
          <w:rtl/>
        </w:rPr>
        <w:t>הרב ר'</w:t>
      </w:r>
      <w:r>
        <w:rPr>
          <w:rFonts w:ascii="David" w:hAnsi="David" w:cs="David"/>
          <w:sz w:val="24"/>
          <w:szCs w:val="24"/>
          <w:rtl/>
        </w:rPr>
        <w:t xml:space="preserve"> וביקש לקבוע פגישה משותפת בנוכחות האדמו</w:t>
      </w:r>
      <w:r w:rsidR="00906C61">
        <w:rPr>
          <w:rFonts w:ascii="David" w:hAnsi="David" w:cs="David"/>
          <w:sz w:val="24"/>
          <w:szCs w:val="24"/>
          <w:rtl/>
        </w:rPr>
        <w:t xml:space="preserve">"ר ובנוכחות אדם נוסף, </w:t>
      </w:r>
      <w:r>
        <w:rPr>
          <w:rFonts w:ascii="David" w:hAnsi="David" w:cs="David"/>
          <w:sz w:val="24"/>
          <w:szCs w:val="24"/>
          <w:rtl/>
        </w:rPr>
        <w:t>זאת על מנת להגיע להסדר כולל בכל</w:t>
      </w:r>
      <w:r w:rsidR="00906C61">
        <w:rPr>
          <w:rFonts w:ascii="David" w:hAnsi="David" w:cs="David"/>
          <w:sz w:val="24"/>
          <w:szCs w:val="24"/>
          <w:rtl/>
        </w:rPr>
        <w:t xml:space="preserve"> העניינים הכרוכים בגירושין ו</w:t>
      </w:r>
      <w:r>
        <w:rPr>
          <w:rFonts w:ascii="David" w:hAnsi="David" w:cs="David"/>
          <w:sz w:val="24"/>
          <w:szCs w:val="24"/>
          <w:rtl/>
        </w:rPr>
        <w:t xml:space="preserve">לאחר שהובהר לו כי </w:t>
      </w:r>
      <w:r w:rsidR="0014143A">
        <w:rPr>
          <w:rFonts w:ascii="David" w:hAnsi="David" w:cs="David"/>
          <w:sz w:val="24"/>
          <w:szCs w:val="24"/>
          <w:rtl/>
        </w:rPr>
        <w:t>הרב ר'</w:t>
      </w:r>
      <w:r>
        <w:rPr>
          <w:rFonts w:ascii="David" w:hAnsi="David" w:cs="David"/>
          <w:sz w:val="24"/>
          <w:szCs w:val="24"/>
          <w:rtl/>
        </w:rPr>
        <w:t xml:space="preserve"> מייצג את האב (עמ' 30, ש' 3-5; שם, ש' 20 וכן עמ' 31, ש' 1).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t>לדברי העד המתווך מטעם הרב הבהיר לו שלנוכח כך שהאם עתידה להישאר בישראל, האב מבקש למכור את הדירה ולחלק את תמורתה בחלקים שווים וזאת על מנת שהאם תוכל לרכוש דירה בישראל (שם, ש' 6-8) וכן ציין כי המתוו</w:t>
      </w:r>
      <w:r w:rsidR="00906C61">
        <w:rPr>
          <w:rFonts w:ascii="David" w:hAnsi="David" w:cs="David"/>
          <w:sz w:val="24"/>
          <w:szCs w:val="24"/>
          <w:rtl/>
        </w:rPr>
        <w:t xml:space="preserve">ך מטעם האב הודיע לו שהישארותה </w:t>
      </w:r>
      <w:r w:rsidR="00906C61">
        <w:rPr>
          <w:rFonts w:ascii="David" w:hAnsi="David" w:cs="David" w:hint="cs"/>
          <w:sz w:val="24"/>
          <w:szCs w:val="24"/>
          <w:rtl/>
        </w:rPr>
        <w:t>של</w:t>
      </w:r>
      <w:r>
        <w:rPr>
          <w:rFonts w:ascii="David" w:hAnsi="David" w:cs="David"/>
          <w:sz w:val="24"/>
          <w:szCs w:val="24"/>
          <w:rtl/>
        </w:rPr>
        <w:t xml:space="preserve"> האם בישראל תהיה פרקטית יותר וזולה יותר (עמ' 31, ש' 4-5). עדותו של </w:t>
      </w:r>
      <w:r w:rsidR="0014143A">
        <w:rPr>
          <w:rFonts w:ascii="David" w:hAnsi="David" w:cs="David"/>
          <w:sz w:val="24"/>
          <w:szCs w:val="24"/>
          <w:rtl/>
        </w:rPr>
        <w:t>הרב א'</w:t>
      </w:r>
      <w:r>
        <w:rPr>
          <w:rFonts w:ascii="David" w:hAnsi="David" w:cs="David"/>
          <w:sz w:val="24"/>
          <w:szCs w:val="24"/>
          <w:rtl/>
        </w:rPr>
        <w:t xml:space="preserve"> בעניין זה סתרה באופן מוחלט את טענת האב </w:t>
      </w:r>
      <w:r w:rsidR="00906C61">
        <w:rPr>
          <w:rFonts w:ascii="David" w:hAnsi="David" w:cs="David" w:hint="cs"/>
          <w:sz w:val="24"/>
          <w:szCs w:val="24"/>
          <w:rtl/>
        </w:rPr>
        <w:t>שטען כי</w:t>
      </w:r>
      <w:r>
        <w:rPr>
          <w:rFonts w:ascii="David" w:hAnsi="David" w:cs="David"/>
          <w:sz w:val="24"/>
          <w:szCs w:val="24"/>
          <w:rtl/>
        </w:rPr>
        <w:t xml:space="preserve"> מדובר היה ביוזמה של </w:t>
      </w:r>
      <w:r w:rsidR="00906C61">
        <w:rPr>
          <w:rFonts w:ascii="David" w:hAnsi="David" w:cs="David" w:hint="cs"/>
          <w:sz w:val="24"/>
          <w:szCs w:val="24"/>
          <w:rtl/>
        </w:rPr>
        <w:t>המתווך מטעם האם</w:t>
      </w:r>
      <w:r>
        <w:rPr>
          <w:rFonts w:ascii="David" w:hAnsi="David" w:cs="David"/>
          <w:sz w:val="24"/>
          <w:szCs w:val="24"/>
          <w:rtl/>
        </w:rPr>
        <w:t xml:space="preserve"> ולא של המתווך מטעמו.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lastRenderedPageBreak/>
        <w:t xml:space="preserve">עוד הוסיף העד כי דווקא המתווך מטעם האב הבהיר שעל מנת שלא יבואו אליו בטענות חדשות בכל פעם שהוא פוגש בקטינים, הרי שכאשר הוא מגיע לבקר בישראל, הוא </w:t>
      </w:r>
      <w:r w:rsidR="00906C61">
        <w:rPr>
          <w:rFonts w:ascii="David" w:hAnsi="David" w:cs="David" w:hint="cs"/>
          <w:sz w:val="24"/>
          <w:szCs w:val="24"/>
          <w:rtl/>
        </w:rPr>
        <w:t>מעדיף לפג</w:t>
      </w:r>
      <w:r w:rsidR="00127B87">
        <w:rPr>
          <w:rFonts w:ascii="David" w:hAnsi="David" w:cs="David" w:hint="cs"/>
          <w:sz w:val="24"/>
          <w:szCs w:val="24"/>
          <w:rtl/>
        </w:rPr>
        <w:t>וש</w:t>
      </w:r>
      <w:r>
        <w:rPr>
          <w:rFonts w:ascii="David" w:hAnsi="David" w:cs="David"/>
          <w:sz w:val="24"/>
          <w:szCs w:val="24"/>
          <w:rtl/>
        </w:rPr>
        <w:t xml:space="preserve"> את הקטינים תחת פיקוח (שם, ש' 8-11). </w:t>
      </w:r>
    </w:p>
    <w:p w:rsidR="00AD7A83" w:rsidRPr="00127B87"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t xml:space="preserve">העד הוסיף והבהיר שהוא והמתווך הנוסף הסכימו כי ישכרו את שירותיו של עו"ד משותף שינסח את כל ההסכמות אליהן הגיעו הצדדים באמצעות המתווכים בעל פה, וכי כוונתם הייתה שהסכם זה יובא לאישורו של ביהמ"ש (שם, ש' 15-16).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t>עוד הבהיר העד, כי הוסכם גם גובה המזונות,</w:t>
      </w:r>
      <w:r w:rsidR="00127B87">
        <w:rPr>
          <w:rFonts w:ascii="David" w:hAnsi="David" w:cs="David" w:hint="cs"/>
          <w:sz w:val="24"/>
          <w:szCs w:val="24"/>
          <w:rtl/>
        </w:rPr>
        <w:t xml:space="preserve"> זאת</w:t>
      </w:r>
      <w:r>
        <w:rPr>
          <w:rFonts w:ascii="David" w:hAnsi="David" w:cs="David"/>
          <w:sz w:val="24"/>
          <w:szCs w:val="24"/>
          <w:rtl/>
        </w:rPr>
        <w:t xml:space="preserve"> לפי המקובל ב</w:t>
      </w:r>
      <w:r w:rsidR="00F8253F">
        <w:rPr>
          <w:rFonts w:ascii="David" w:hAnsi="David" w:cs="David"/>
          <w:sz w:val="24"/>
          <w:szCs w:val="24"/>
          <w:rtl/>
        </w:rPr>
        <w:t>...</w:t>
      </w:r>
      <w:r>
        <w:rPr>
          <w:rFonts w:ascii="David" w:hAnsi="David" w:cs="David"/>
          <w:sz w:val="24"/>
          <w:szCs w:val="24"/>
          <w:rtl/>
        </w:rPr>
        <w:t xml:space="preserve"> ולא לפי ערך גבוה יותר הנהוג בישראל, וזאת תוך הסכמה שהקטינים ילמדו בישראל ובכך יחסכו שני הצדדים כסף בגין שכר הלימוד</w:t>
      </w:r>
      <w:r w:rsidR="00127B87">
        <w:rPr>
          <w:rFonts w:ascii="David" w:hAnsi="David" w:cs="David" w:hint="cs"/>
          <w:sz w:val="24"/>
          <w:szCs w:val="24"/>
          <w:rtl/>
        </w:rPr>
        <w:t>,</w:t>
      </w:r>
      <w:r>
        <w:rPr>
          <w:rFonts w:ascii="David" w:hAnsi="David" w:cs="David"/>
          <w:sz w:val="24"/>
          <w:szCs w:val="24"/>
          <w:rtl/>
        </w:rPr>
        <w:t xml:space="preserve"> אשר נמוך יותר בישראל (שם, ש' 17-19). </w:t>
      </w: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t>עוד תיאר העד את ההפתעה המוחלטת של</w:t>
      </w:r>
      <w:r w:rsidR="00127B87">
        <w:rPr>
          <w:rFonts w:ascii="David" w:hAnsi="David" w:cs="David"/>
          <w:sz w:val="24"/>
          <w:szCs w:val="24"/>
          <w:rtl/>
        </w:rPr>
        <w:t xml:space="preserve"> האם, אשר התקשרה אליו ב</w:t>
      </w:r>
      <w:r w:rsidR="00127B87">
        <w:rPr>
          <w:rFonts w:ascii="David" w:hAnsi="David" w:cs="David" w:hint="cs"/>
          <w:sz w:val="24"/>
          <w:szCs w:val="24"/>
          <w:rtl/>
        </w:rPr>
        <w:t>"</w:t>
      </w:r>
      <w:r w:rsidR="00127B87" w:rsidRPr="00127B87">
        <w:rPr>
          <w:rFonts w:ascii="David" w:hAnsi="David" w:cs="David"/>
          <w:i/>
          <w:iCs/>
          <w:sz w:val="24"/>
          <w:szCs w:val="24"/>
          <w:rtl/>
        </w:rPr>
        <w:t>היסטריה</w:t>
      </w:r>
      <w:r w:rsidR="00127B87">
        <w:rPr>
          <w:rFonts w:ascii="David" w:hAnsi="David" w:cs="David" w:hint="cs"/>
          <w:sz w:val="24"/>
          <w:szCs w:val="24"/>
          <w:rtl/>
        </w:rPr>
        <w:t>"</w:t>
      </w:r>
      <w:r w:rsidR="00127B87">
        <w:rPr>
          <w:rFonts w:ascii="David" w:hAnsi="David" w:cs="David"/>
          <w:sz w:val="24"/>
          <w:szCs w:val="24"/>
          <w:rtl/>
        </w:rPr>
        <w:t xml:space="preserve"> </w:t>
      </w:r>
      <w:r w:rsidR="00127B87">
        <w:rPr>
          <w:rFonts w:ascii="David" w:hAnsi="David" w:cs="David" w:hint="cs"/>
          <w:sz w:val="24"/>
          <w:szCs w:val="24"/>
          <w:rtl/>
        </w:rPr>
        <w:t>כ</w:t>
      </w:r>
      <w:r>
        <w:rPr>
          <w:rFonts w:ascii="David" w:hAnsi="David" w:cs="David"/>
          <w:sz w:val="24"/>
          <w:szCs w:val="24"/>
          <w:rtl/>
        </w:rPr>
        <w:t>הגדרתו, ביום שהוגשה התובענה בבית משפט זה (שם, ש' 22-23).</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t xml:space="preserve">העד הבהיר כי הוא גם כן הופתע מפתיחת ההליך בבית המשפט, אך נאמר לו בסמוך להגשת התביעה כי מדובר ב </w:t>
      </w:r>
      <w:r>
        <w:rPr>
          <w:rFonts w:ascii="David" w:hAnsi="David" w:cs="David"/>
          <w:b/>
          <w:bCs/>
          <w:i/>
          <w:iCs/>
          <w:sz w:val="24"/>
          <w:szCs w:val="24"/>
          <w:rtl/>
        </w:rPr>
        <w:t>"משהו טכני, אף אחד לא הולך להחזיר אותה ל</w:t>
      </w:r>
      <w:r w:rsidR="00F8253F">
        <w:rPr>
          <w:rFonts w:ascii="David" w:hAnsi="David" w:cs="David"/>
          <w:b/>
          <w:bCs/>
          <w:i/>
          <w:iCs/>
          <w:sz w:val="24"/>
          <w:szCs w:val="24"/>
          <w:rtl/>
        </w:rPr>
        <w:t>...</w:t>
      </w:r>
      <w:r>
        <w:rPr>
          <w:rFonts w:ascii="David" w:hAnsi="David" w:cs="David"/>
          <w:b/>
          <w:bCs/>
          <w:i/>
          <w:iCs/>
          <w:sz w:val="24"/>
          <w:szCs w:val="24"/>
          <w:rtl/>
        </w:rPr>
        <w:t>"</w:t>
      </w:r>
      <w:r>
        <w:rPr>
          <w:rFonts w:ascii="David" w:hAnsi="David" w:cs="David"/>
          <w:sz w:val="24"/>
          <w:szCs w:val="24"/>
          <w:rtl/>
        </w:rPr>
        <w:t xml:space="preserve"> וכי הדבר נאמר לו 4 פעמים שאף אחד לא מתכוון להחזיר את האם ל</w:t>
      </w:r>
      <w:r w:rsidR="00F8253F">
        <w:rPr>
          <w:rFonts w:ascii="David" w:hAnsi="David" w:cs="David"/>
          <w:sz w:val="24"/>
          <w:szCs w:val="24"/>
          <w:rtl/>
        </w:rPr>
        <w:t>...</w:t>
      </w:r>
      <w:r>
        <w:rPr>
          <w:rFonts w:ascii="David" w:hAnsi="David" w:cs="David"/>
          <w:sz w:val="24"/>
          <w:szCs w:val="24"/>
          <w:rtl/>
        </w:rPr>
        <w:t xml:space="preserve">, אלא שמדובר בניסיון </w:t>
      </w:r>
      <w:r>
        <w:rPr>
          <w:rFonts w:ascii="David" w:hAnsi="David" w:cs="David"/>
          <w:b/>
          <w:bCs/>
          <w:i/>
          <w:iCs/>
          <w:sz w:val="24"/>
          <w:szCs w:val="24"/>
          <w:rtl/>
        </w:rPr>
        <w:t xml:space="preserve">"לקבל קצת יותר" </w:t>
      </w:r>
      <w:r>
        <w:rPr>
          <w:rFonts w:ascii="David" w:hAnsi="David" w:cs="David"/>
          <w:sz w:val="24"/>
          <w:szCs w:val="24"/>
          <w:rtl/>
        </w:rPr>
        <w:t xml:space="preserve">(עמ' 31, ש' 10-15).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lastRenderedPageBreak/>
        <w:t>העד הבהיר שהוא שאל את המתווך (</w:t>
      </w:r>
      <w:r w:rsidR="0014143A">
        <w:rPr>
          <w:rFonts w:ascii="David" w:hAnsi="David" w:cs="David"/>
          <w:sz w:val="24"/>
          <w:szCs w:val="24"/>
          <w:rtl/>
        </w:rPr>
        <w:t>הרב ר'</w:t>
      </w:r>
      <w:r>
        <w:rPr>
          <w:rFonts w:ascii="David" w:hAnsi="David" w:cs="David"/>
          <w:sz w:val="24"/>
          <w:szCs w:val="24"/>
          <w:rtl/>
        </w:rPr>
        <w:t xml:space="preserve">) האם הדברים נאמרים על דעת האב והמתווך הודיע לו שהוא מדבר בשם האב וכי </w:t>
      </w:r>
      <w:r>
        <w:rPr>
          <w:rFonts w:ascii="David" w:hAnsi="David" w:cs="David"/>
          <w:b/>
          <w:bCs/>
          <w:i/>
          <w:iCs/>
          <w:sz w:val="24"/>
          <w:szCs w:val="24"/>
          <w:rtl/>
        </w:rPr>
        <w:t xml:space="preserve">"שוקי" </w:t>
      </w:r>
      <w:r>
        <w:rPr>
          <w:rFonts w:ascii="David" w:hAnsi="David" w:cs="David"/>
          <w:sz w:val="24"/>
          <w:szCs w:val="24"/>
          <w:rtl/>
        </w:rPr>
        <w:t xml:space="preserve">(ב"כ הנוכחי של האב) לא מדבר בשמו (שם, ש' 17-18). יש לציין כי העד הבהיר כי שיחה זו מוקלטת ולא </w:t>
      </w:r>
      <w:r w:rsidR="00127B87">
        <w:rPr>
          <w:rFonts w:ascii="David" w:hAnsi="David" w:cs="David"/>
          <w:sz w:val="24"/>
          <w:szCs w:val="24"/>
          <w:rtl/>
        </w:rPr>
        <w:t>יתנגד ל</w:t>
      </w:r>
      <w:r w:rsidR="00127B87">
        <w:rPr>
          <w:rFonts w:ascii="David" w:hAnsi="David" w:cs="David" w:hint="cs"/>
          <w:sz w:val="24"/>
          <w:szCs w:val="24"/>
          <w:rtl/>
        </w:rPr>
        <w:t xml:space="preserve">השמיע </w:t>
      </w:r>
      <w:r>
        <w:rPr>
          <w:rFonts w:ascii="David" w:hAnsi="David" w:cs="David"/>
          <w:sz w:val="24"/>
          <w:szCs w:val="24"/>
          <w:rtl/>
        </w:rPr>
        <w:t xml:space="preserve">ההקלטה (עמ' 33, שו' 1-3), אולם ב"כ האב התנגד להסרת </w:t>
      </w:r>
      <w:r w:rsidR="00127B87">
        <w:rPr>
          <w:rFonts w:ascii="David" w:hAnsi="David" w:cs="David" w:hint="cs"/>
          <w:sz w:val="24"/>
          <w:szCs w:val="24"/>
          <w:rtl/>
        </w:rPr>
        <w:t>ה</w:t>
      </w:r>
      <w:r>
        <w:rPr>
          <w:rFonts w:ascii="David" w:hAnsi="David" w:cs="David"/>
          <w:sz w:val="24"/>
          <w:szCs w:val="24"/>
          <w:rtl/>
        </w:rPr>
        <w:t xml:space="preserve">חיסיון מהקלטה זו, </w:t>
      </w:r>
      <w:r w:rsidR="00127B87">
        <w:rPr>
          <w:rFonts w:ascii="David" w:hAnsi="David" w:cs="David" w:hint="cs"/>
          <w:sz w:val="24"/>
          <w:szCs w:val="24"/>
          <w:rtl/>
        </w:rPr>
        <w:t>הכוללת</w:t>
      </w:r>
      <w:r>
        <w:rPr>
          <w:rFonts w:ascii="David" w:hAnsi="David" w:cs="David"/>
          <w:sz w:val="24"/>
          <w:szCs w:val="24"/>
          <w:rtl/>
        </w:rPr>
        <w:t xml:space="preserve"> פרטי משא ומתן שהוחלפו בין הצדדים (שם, ש' 21-26).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5"/>
        </w:numPr>
        <w:spacing w:after="0" w:line="360" w:lineRule="auto"/>
        <w:jc w:val="both"/>
        <w:rPr>
          <w:rFonts w:ascii="David" w:hAnsi="David" w:cs="David"/>
          <w:sz w:val="24"/>
          <w:szCs w:val="24"/>
        </w:rPr>
      </w:pPr>
      <w:r>
        <w:rPr>
          <w:rFonts w:ascii="David" w:hAnsi="David" w:cs="David"/>
          <w:sz w:val="24"/>
          <w:szCs w:val="24"/>
          <w:rtl/>
        </w:rPr>
        <w:t xml:space="preserve">ניסיונו של ב"כ האב להטיל דופי באמינותו של העד, לא צלחה, העד הבהיר כי אין לו כל אינטרס בהליך זה (עמ' 32, ש' 27-28), הכחיש כל קשר כלכלי לאם (שם, ש' 29-30) ובאופן כללי עדותו הייתה מהימנה על ביהמ"ש ולא נסתרה, זאת במיוחד כאשר העד הבהיר שהוא מוכן להשמיע בביהמ"ש את הקלטת השיחה שלו עם </w:t>
      </w:r>
      <w:r w:rsidR="0014143A">
        <w:rPr>
          <w:rFonts w:ascii="David" w:hAnsi="David" w:cs="David"/>
          <w:sz w:val="24"/>
          <w:szCs w:val="24"/>
          <w:rtl/>
        </w:rPr>
        <w:t>הרב ר'</w:t>
      </w:r>
      <w:r>
        <w:rPr>
          <w:rFonts w:ascii="David" w:hAnsi="David" w:cs="David"/>
          <w:sz w:val="24"/>
          <w:szCs w:val="24"/>
          <w:rtl/>
        </w:rPr>
        <w:t xml:space="preserve">.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color w:val="FF0000"/>
          <w:sz w:val="24"/>
          <w:szCs w:val="24"/>
        </w:rPr>
      </w:pPr>
      <w:r>
        <w:rPr>
          <w:rFonts w:ascii="David" w:hAnsi="David" w:cs="David"/>
          <w:sz w:val="24"/>
          <w:szCs w:val="24"/>
          <w:rtl/>
        </w:rPr>
        <w:t xml:space="preserve">בתום שמיעת העדויות ולשאלת ב"כ האם, השיב ב"כ האב כי הוא אינו מעוניין כי תשמע עדותו של </w:t>
      </w:r>
      <w:r w:rsidR="0014143A">
        <w:rPr>
          <w:rFonts w:ascii="David" w:hAnsi="David" w:cs="David"/>
          <w:sz w:val="24"/>
          <w:szCs w:val="24"/>
          <w:rtl/>
        </w:rPr>
        <w:t>הרב ר'</w:t>
      </w:r>
      <w:r>
        <w:rPr>
          <w:rFonts w:ascii="David" w:hAnsi="David" w:cs="David"/>
          <w:sz w:val="24"/>
          <w:szCs w:val="24"/>
          <w:rtl/>
        </w:rPr>
        <w:t xml:space="preserve"> וביקש לטעון כי הוא לא יודע את מי </w:t>
      </w:r>
      <w:r w:rsidR="0014143A">
        <w:rPr>
          <w:rFonts w:ascii="David" w:hAnsi="David" w:cs="David"/>
          <w:sz w:val="24"/>
          <w:szCs w:val="24"/>
          <w:rtl/>
        </w:rPr>
        <w:t>הרב ר'</w:t>
      </w:r>
      <w:r>
        <w:rPr>
          <w:rFonts w:ascii="David" w:hAnsi="David" w:cs="David"/>
          <w:sz w:val="24"/>
          <w:szCs w:val="24"/>
          <w:rtl/>
        </w:rPr>
        <w:t xml:space="preserve"> מייצג, </w:t>
      </w:r>
      <w:r w:rsidR="00B74E95">
        <w:rPr>
          <w:rFonts w:ascii="David" w:hAnsi="David" w:cs="David" w:hint="cs"/>
          <w:sz w:val="24"/>
          <w:szCs w:val="24"/>
          <w:rtl/>
        </w:rPr>
        <w:t xml:space="preserve">ציין </w:t>
      </w:r>
      <w:r>
        <w:rPr>
          <w:rFonts w:ascii="David" w:hAnsi="David" w:cs="David"/>
          <w:sz w:val="24"/>
          <w:szCs w:val="24"/>
          <w:rtl/>
        </w:rPr>
        <w:t>כי הוא חושש משמיעת עדותו, זאת בטענה ש</w:t>
      </w:r>
      <w:r w:rsidR="0014143A">
        <w:rPr>
          <w:rFonts w:ascii="David" w:hAnsi="David" w:cs="David"/>
          <w:sz w:val="24"/>
          <w:szCs w:val="24"/>
          <w:rtl/>
        </w:rPr>
        <w:t>הרב א'</w:t>
      </w:r>
      <w:r>
        <w:rPr>
          <w:rFonts w:ascii="David" w:hAnsi="David" w:cs="David"/>
          <w:sz w:val="24"/>
          <w:szCs w:val="24"/>
          <w:rtl/>
        </w:rPr>
        <w:t xml:space="preserve"> </w:t>
      </w:r>
      <w:r w:rsidR="00B74E95">
        <w:rPr>
          <w:rFonts w:ascii="David" w:hAnsi="David" w:cs="David" w:hint="cs"/>
          <w:sz w:val="24"/>
          <w:szCs w:val="24"/>
          <w:rtl/>
        </w:rPr>
        <w:t>"</w:t>
      </w:r>
      <w:r w:rsidRPr="00B74E95">
        <w:rPr>
          <w:rFonts w:ascii="David" w:hAnsi="David" w:cs="David"/>
          <w:i/>
          <w:iCs/>
          <w:sz w:val="24"/>
          <w:szCs w:val="24"/>
          <w:rtl/>
        </w:rPr>
        <w:t>אולי שילם גם לו כסף</w:t>
      </w:r>
      <w:r w:rsidR="00B74E95">
        <w:rPr>
          <w:rFonts w:ascii="David" w:hAnsi="David" w:cs="David" w:hint="cs"/>
          <w:sz w:val="24"/>
          <w:szCs w:val="24"/>
          <w:rtl/>
        </w:rPr>
        <w:t>"</w:t>
      </w:r>
      <w:r>
        <w:rPr>
          <w:rFonts w:ascii="David" w:hAnsi="David" w:cs="David"/>
          <w:sz w:val="24"/>
          <w:szCs w:val="24"/>
          <w:rtl/>
        </w:rPr>
        <w:t xml:space="preserve"> (עמ' 33, ש' 9).</w:t>
      </w:r>
    </w:p>
    <w:p w:rsidR="00AD7A83" w:rsidRDefault="00AD7A83" w:rsidP="009863FF">
      <w:pPr>
        <w:pStyle w:val="ad"/>
        <w:spacing w:after="0" w:line="360" w:lineRule="auto"/>
        <w:jc w:val="both"/>
        <w:rPr>
          <w:rFonts w:ascii="David" w:hAnsi="David" w:cs="David"/>
          <w:color w:val="FF0000"/>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יש לציין כי ב"כ האם ביקש מביהמ"ש כי יסייע לצדדים להגיע להסכמות, אולם ב"כ האב עמד בנחרצות על עמדתו והודיע </w:t>
      </w:r>
      <w:r>
        <w:rPr>
          <w:rFonts w:ascii="David" w:hAnsi="David" w:cs="David"/>
          <w:b/>
          <w:bCs/>
          <w:i/>
          <w:iCs/>
          <w:sz w:val="24"/>
          <w:szCs w:val="24"/>
          <w:rtl/>
        </w:rPr>
        <w:t xml:space="preserve">"אני אומר לך שהם חוזרים לאמריקה, אין סיבה שביהמ"ש יביא להסכמות". </w:t>
      </w:r>
      <w:r>
        <w:rPr>
          <w:rFonts w:ascii="David" w:hAnsi="David" w:cs="David"/>
          <w:sz w:val="24"/>
          <w:szCs w:val="24"/>
          <w:rtl/>
        </w:rPr>
        <w:t>אציין גם כן בעניין זה, כי גם לאחר שמיעת סיכומי ב"כ הצדדים ניהל ביהמ"ש עם הצדדים וב"כ שיח מחוץ לפרוטוקול במטרה להביא הצדדים להסכמות, אולם זאת ללא הצלחה, ובנסיבות אלה אין מנוס מהכרעה בתובענה.</w:t>
      </w:r>
    </w:p>
    <w:p w:rsidR="00AD7A83" w:rsidRDefault="00AD7A83" w:rsidP="009863FF">
      <w:pPr>
        <w:pStyle w:val="ad"/>
        <w:spacing w:after="0" w:line="360" w:lineRule="auto"/>
        <w:jc w:val="both"/>
        <w:rPr>
          <w:rFonts w:ascii="David" w:hAnsi="David" w:cs="David"/>
          <w:sz w:val="24"/>
          <w:szCs w:val="24"/>
        </w:rPr>
      </w:pPr>
    </w:p>
    <w:p w:rsidR="00AD7A83" w:rsidRPr="00FB01E9" w:rsidRDefault="00AD7A83" w:rsidP="009863FF">
      <w:pPr>
        <w:pStyle w:val="ad"/>
        <w:numPr>
          <w:ilvl w:val="0"/>
          <w:numId w:val="1"/>
        </w:numPr>
        <w:spacing w:after="0" w:line="360" w:lineRule="auto"/>
        <w:jc w:val="both"/>
        <w:rPr>
          <w:rFonts w:ascii="David" w:hAnsi="David" w:cs="David"/>
          <w:sz w:val="24"/>
          <w:szCs w:val="24"/>
        </w:rPr>
      </w:pPr>
      <w:r w:rsidRPr="00FB01E9">
        <w:rPr>
          <w:rFonts w:ascii="David" w:hAnsi="David" w:cs="David"/>
          <w:sz w:val="24"/>
          <w:szCs w:val="24"/>
          <w:rtl/>
        </w:rPr>
        <w:t>בתום שמיעת העדויות ולאחר הפסקה נשמעו סיכומי ב"כ הצדדים, ולהלן עיקרי טענותיהם:</w:t>
      </w:r>
    </w:p>
    <w:p w:rsidR="00AD7A83" w:rsidRDefault="00AD7A83" w:rsidP="009863FF">
      <w:pPr>
        <w:pStyle w:val="ad"/>
        <w:spacing w:after="0" w:line="360" w:lineRule="auto"/>
        <w:jc w:val="both"/>
        <w:rPr>
          <w:rFonts w:ascii="David" w:hAnsi="David" w:cs="David"/>
          <w:sz w:val="24"/>
          <w:szCs w:val="24"/>
          <w:rtl/>
        </w:rPr>
      </w:pPr>
    </w:p>
    <w:p w:rsidR="00AD7A83" w:rsidRDefault="00AD7A83" w:rsidP="009863FF">
      <w:pPr>
        <w:pStyle w:val="ad"/>
        <w:spacing w:after="0" w:line="360" w:lineRule="auto"/>
        <w:jc w:val="both"/>
        <w:rPr>
          <w:rFonts w:ascii="David" w:hAnsi="David" w:cs="David"/>
          <w:b/>
          <w:bCs/>
          <w:sz w:val="24"/>
          <w:szCs w:val="24"/>
          <w:u w:val="single"/>
          <w:rtl/>
        </w:rPr>
      </w:pPr>
      <w:r>
        <w:rPr>
          <w:rFonts w:ascii="David" w:hAnsi="David" w:cs="David"/>
          <w:b/>
          <w:bCs/>
          <w:sz w:val="24"/>
          <w:szCs w:val="24"/>
          <w:u w:val="single"/>
          <w:rtl/>
        </w:rPr>
        <w:t>טענות האב:</w:t>
      </w:r>
    </w:p>
    <w:p w:rsidR="00AD7A83" w:rsidRDefault="00FB01E9" w:rsidP="00FB01E9">
      <w:pPr>
        <w:pStyle w:val="ad"/>
        <w:numPr>
          <w:ilvl w:val="0"/>
          <w:numId w:val="6"/>
        </w:numPr>
        <w:spacing w:after="0" w:line="360" w:lineRule="auto"/>
        <w:jc w:val="both"/>
        <w:rPr>
          <w:rFonts w:ascii="David" w:hAnsi="David" w:cs="David"/>
          <w:sz w:val="24"/>
          <w:szCs w:val="24"/>
        </w:rPr>
      </w:pPr>
      <w:r>
        <w:rPr>
          <w:rFonts w:ascii="David" w:hAnsi="David" w:cs="David" w:hint="cs"/>
          <w:sz w:val="24"/>
          <w:szCs w:val="24"/>
          <w:rtl/>
        </w:rPr>
        <w:t xml:space="preserve">האב לא נתן </w:t>
      </w:r>
      <w:r w:rsidR="00AD7A83">
        <w:rPr>
          <w:rFonts w:ascii="David" w:hAnsi="David" w:cs="David"/>
          <w:sz w:val="24"/>
          <w:szCs w:val="24"/>
          <w:rtl/>
        </w:rPr>
        <w:t>מעולם הסכמה להשארת הקטינים בישראל</w:t>
      </w:r>
      <w:r>
        <w:rPr>
          <w:rFonts w:ascii="David" w:hAnsi="David" w:cs="David" w:hint="cs"/>
          <w:sz w:val="24"/>
          <w:szCs w:val="24"/>
          <w:rtl/>
        </w:rPr>
        <w:t>,</w:t>
      </w:r>
      <w:r w:rsidR="00AD7A83">
        <w:rPr>
          <w:rFonts w:ascii="David" w:hAnsi="David" w:cs="David"/>
          <w:sz w:val="24"/>
          <w:szCs w:val="24"/>
          <w:rtl/>
        </w:rPr>
        <w:t xml:space="preserve"> </w:t>
      </w:r>
      <w:r>
        <w:rPr>
          <w:rFonts w:ascii="David" w:hAnsi="David" w:cs="David" w:hint="cs"/>
          <w:sz w:val="24"/>
          <w:szCs w:val="24"/>
          <w:rtl/>
        </w:rPr>
        <w:t xml:space="preserve">כך גם לא הייתה </w:t>
      </w:r>
      <w:r w:rsidR="00AD7A83">
        <w:rPr>
          <w:rFonts w:ascii="David" w:hAnsi="David" w:cs="David"/>
          <w:sz w:val="24"/>
          <w:szCs w:val="24"/>
          <w:rtl/>
        </w:rPr>
        <w:t>השלמה של האב לכך.</w:t>
      </w:r>
    </w:p>
    <w:p w:rsidR="00AD7A83" w:rsidRPr="00FB01E9" w:rsidRDefault="00AD7A83" w:rsidP="009863FF">
      <w:pPr>
        <w:pStyle w:val="ad"/>
        <w:spacing w:after="0" w:line="360" w:lineRule="auto"/>
        <w:ind w:left="1440"/>
        <w:jc w:val="both"/>
        <w:rPr>
          <w:rFonts w:ascii="David" w:hAnsi="David" w:cs="David"/>
          <w:sz w:val="24"/>
          <w:szCs w:val="24"/>
        </w:rPr>
      </w:pPr>
    </w:p>
    <w:p w:rsidR="00AD7A83" w:rsidRDefault="00FB01E9" w:rsidP="009863FF">
      <w:pPr>
        <w:pStyle w:val="ad"/>
        <w:numPr>
          <w:ilvl w:val="0"/>
          <w:numId w:val="6"/>
        </w:numPr>
        <w:spacing w:after="0" w:line="360" w:lineRule="auto"/>
        <w:jc w:val="both"/>
        <w:rPr>
          <w:rFonts w:ascii="David" w:hAnsi="David" w:cs="David"/>
          <w:sz w:val="24"/>
          <w:szCs w:val="24"/>
        </w:rPr>
      </w:pPr>
      <w:r>
        <w:rPr>
          <w:rFonts w:ascii="David" w:hAnsi="David" w:cs="David" w:hint="cs"/>
          <w:sz w:val="24"/>
          <w:szCs w:val="24"/>
          <w:rtl/>
        </w:rPr>
        <w:t>ב"כ הקודם של האב (</w:t>
      </w:r>
      <w:r w:rsidR="00AD7A83">
        <w:rPr>
          <w:rFonts w:ascii="David" w:hAnsi="David" w:cs="David"/>
          <w:sz w:val="24"/>
          <w:szCs w:val="24"/>
          <w:rtl/>
        </w:rPr>
        <w:t>עו"ד סולומון</w:t>
      </w:r>
      <w:r>
        <w:rPr>
          <w:rFonts w:ascii="David" w:hAnsi="David" w:cs="David" w:hint="cs"/>
          <w:sz w:val="24"/>
          <w:szCs w:val="24"/>
          <w:rtl/>
        </w:rPr>
        <w:t>)</w:t>
      </w:r>
      <w:r w:rsidR="00AD7A83">
        <w:rPr>
          <w:rFonts w:ascii="David" w:hAnsi="David" w:cs="David"/>
          <w:sz w:val="24"/>
          <w:szCs w:val="24"/>
          <w:rtl/>
        </w:rPr>
        <w:t xml:space="preserve"> אשר על פי הנטען הגיע להסכמות עם הצד שכנגד, ייצג את האב במשך ימים ספורים בלבד, כאשר האב חתם לו על </w:t>
      </w:r>
      <w:r>
        <w:rPr>
          <w:rFonts w:ascii="David" w:hAnsi="David" w:cs="David"/>
          <w:sz w:val="24"/>
          <w:szCs w:val="24"/>
          <w:rtl/>
        </w:rPr>
        <w:t>ייפוי כוח ביום 14.06.2024 ו</w:t>
      </w:r>
      <w:r w:rsidR="00AD7A83">
        <w:rPr>
          <w:rFonts w:ascii="David" w:hAnsi="David" w:cs="David"/>
          <w:sz w:val="24"/>
          <w:szCs w:val="24"/>
          <w:rtl/>
        </w:rPr>
        <w:t>החל מיום 24.06.2024, האב מיוצג ע"י ב"כ הנוכחי, ומשכך אין לייחס חשיבות למשא ומתן שנוהל ע"י עו"ד סולומון.</w:t>
      </w:r>
    </w:p>
    <w:p w:rsidR="00AD7A83" w:rsidRPr="00FB01E9"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6"/>
        </w:numPr>
        <w:spacing w:after="0" w:line="360" w:lineRule="auto"/>
        <w:jc w:val="both"/>
        <w:rPr>
          <w:rFonts w:ascii="David" w:hAnsi="David" w:cs="David"/>
          <w:sz w:val="24"/>
          <w:szCs w:val="24"/>
        </w:rPr>
      </w:pPr>
      <w:r>
        <w:rPr>
          <w:rFonts w:ascii="David" w:hAnsi="David" w:cs="David"/>
          <w:sz w:val="24"/>
          <w:szCs w:val="24"/>
          <w:rtl/>
        </w:rPr>
        <w:t>גם ב</w:t>
      </w:r>
      <w:r w:rsidR="007046B0">
        <w:rPr>
          <w:rFonts w:ascii="David" w:hAnsi="David" w:cs="David" w:hint="cs"/>
          <w:sz w:val="24"/>
          <w:szCs w:val="24"/>
          <w:rtl/>
        </w:rPr>
        <w:t xml:space="preserve">מסגרת </w:t>
      </w:r>
      <w:r>
        <w:rPr>
          <w:rFonts w:ascii="David" w:hAnsi="David" w:cs="David"/>
          <w:sz w:val="24"/>
          <w:szCs w:val="24"/>
          <w:rtl/>
        </w:rPr>
        <w:t>ניסיונותיהם של הצדדים להגיע להסכמות, הוסכם שהילדים יחזרו ל</w:t>
      </w:r>
      <w:r w:rsidR="00F8253F">
        <w:rPr>
          <w:rFonts w:ascii="David" w:hAnsi="David" w:cs="David"/>
          <w:sz w:val="24"/>
          <w:szCs w:val="24"/>
          <w:rtl/>
        </w:rPr>
        <w:t>...</w:t>
      </w:r>
      <w:r>
        <w:rPr>
          <w:rFonts w:ascii="David" w:hAnsi="David" w:cs="David"/>
          <w:sz w:val="24"/>
          <w:szCs w:val="24"/>
          <w:rtl/>
        </w:rPr>
        <w:t xml:space="preserve"> ולא הוצגה כל ראיה או טיוטת הסכם שממנה ניתן ללמוד כי הוסכם אחרת.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6"/>
        </w:numPr>
        <w:spacing w:after="0" w:line="360" w:lineRule="auto"/>
        <w:jc w:val="both"/>
        <w:rPr>
          <w:rFonts w:ascii="David" w:hAnsi="David" w:cs="David"/>
          <w:sz w:val="24"/>
          <w:szCs w:val="24"/>
        </w:rPr>
      </w:pPr>
      <w:r>
        <w:rPr>
          <w:rFonts w:ascii="David" w:hAnsi="David" w:cs="David"/>
          <w:sz w:val="24"/>
          <w:szCs w:val="24"/>
          <w:rtl/>
        </w:rPr>
        <w:t>האב מעולם לא הסכים למה שהציע עו"ד סולומון ולמעלה מכך, כ</w:t>
      </w:r>
      <w:r w:rsidR="007046B0">
        <w:rPr>
          <w:rFonts w:ascii="David" w:hAnsi="David" w:cs="David"/>
          <w:sz w:val="24"/>
          <w:szCs w:val="24"/>
          <w:rtl/>
        </w:rPr>
        <w:t xml:space="preserve">פי שניתן ללמוד מפרוטוקול הדיון </w:t>
      </w:r>
      <w:r w:rsidR="007046B0">
        <w:rPr>
          <w:rFonts w:ascii="David" w:hAnsi="David" w:cs="David" w:hint="cs"/>
          <w:sz w:val="24"/>
          <w:szCs w:val="24"/>
          <w:rtl/>
        </w:rPr>
        <w:t>ב</w:t>
      </w:r>
      <w:r w:rsidR="008232FA">
        <w:rPr>
          <w:rFonts w:ascii="David" w:hAnsi="David" w:cs="David"/>
          <w:sz w:val="24"/>
          <w:szCs w:val="24"/>
          <w:rtl/>
        </w:rPr>
        <w:t xml:space="preserve">בית הדין הרבני, לא הייתה </w:t>
      </w:r>
      <w:r>
        <w:rPr>
          <w:rFonts w:ascii="David" w:hAnsi="David" w:cs="David"/>
          <w:sz w:val="24"/>
          <w:szCs w:val="24"/>
          <w:rtl/>
        </w:rPr>
        <w:t xml:space="preserve">הסכמה </w:t>
      </w:r>
      <w:r w:rsidR="008232FA">
        <w:rPr>
          <w:rFonts w:ascii="David" w:hAnsi="David" w:cs="David" w:hint="cs"/>
          <w:sz w:val="24"/>
          <w:szCs w:val="24"/>
          <w:rtl/>
        </w:rPr>
        <w:t xml:space="preserve">כלשהי </w:t>
      </w:r>
      <w:r>
        <w:rPr>
          <w:rFonts w:ascii="David" w:hAnsi="David" w:cs="David"/>
          <w:sz w:val="24"/>
          <w:szCs w:val="24"/>
          <w:rtl/>
        </w:rPr>
        <w:t xml:space="preserve">בעניין הקטינים. </w:t>
      </w:r>
    </w:p>
    <w:p w:rsidR="00AD7A83" w:rsidRPr="008232FA" w:rsidRDefault="00AD7A83" w:rsidP="009863FF">
      <w:pPr>
        <w:pStyle w:val="ad"/>
        <w:spacing w:after="0" w:line="360" w:lineRule="auto"/>
        <w:ind w:left="1440"/>
        <w:jc w:val="both"/>
        <w:rPr>
          <w:rFonts w:ascii="David" w:hAnsi="David" w:cs="David"/>
          <w:sz w:val="24"/>
          <w:szCs w:val="24"/>
        </w:rPr>
      </w:pPr>
    </w:p>
    <w:p w:rsidR="00AD7A83" w:rsidRDefault="00AD7A83" w:rsidP="008232FA">
      <w:pPr>
        <w:pStyle w:val="ad"/>
        <w:numPr>
          <w:ilvl w:val="0"/>
          <w:numId w:val="6"/>
        </w:numPr>
        <w:spacing w:after="0" w:line="360" w:lineRule="auto"/>
        <w:jc w:val="both"/>
        <w:rPr>
          <w:rFonts w:ascii="David" w:hAnsi="David" w:cs="David"/>
          <w:sz w:val="24"/>
          <w:szCs w:val="24"/>
        </w:rPr>
      </w:pPr>
      <w:r>
        <w:rPr>
          <w:rFonts w:ascii="David" w:hAnsi="David" w:cs="David"/>
          <w:sz w:val="24"/>
          <w:szCs w:val="24"/>
          <w:rtl/>
        </w:rPr>
        <w:lastRenderedPageBreak/>
        <w:t xml:space="preserve">לשאלת בית המשפט מדוע לא הוזמן עו"ד סולומון להעיד, השיב ב"כ האב כי עו"ד סולומון היה </w:t>
      </w:r>
      <w:r w:rsidR="008232FA">
        <w:rPr>
          <w:rFonts w:ascii="David" w:hAnsi="David" w:cs="David" w:hint="cs"/>
          <w:sz w:val="24"/>
          <w:szCs w:val="24"/>
          <w:rtl/>
        </w:rPr>
        <w:t>"</w:t>
      </w:r>
      <w:r w:rsidRPr="008232FA">
        <w:rPr>
          <w:rFonts w:ascii="David" w:hAnsi="David" w:cs="David"/>
          <w:i/>
          <w:iCs/>
          <w:sz w:val="24"/>
          <w:szCs w:val="24"/>
          <w:rtl/>
        </w:rPr>
        <w:t>דמות אזוטרית</w:t>
      </w:r>
      <w:r w:rsidR="008232FA">
        <w:rPr>
          <w:rFonts w:ascii="David" w:hAnsi="David" w:cs="David" w:hint="cs"/>
          <w:sz w:val="24"/>
          <w:szCs w:val="24"/>
          <w:rtl/>
        </w:rPr>
        <w:t>",</w:t>
      </w:r>
      <w:r>
        <w:rPr>
          <w:rFonts w:ascii="David" w:hAnsi="David" w:cs="David"/>
          <w:sz w:val="24"/>
          <w:szCs w:val="24"/>
          <w:rtl/>
        </w:rPr>
        <w:t xml:space="preserve"> </w:t>
      </w:r>
      <w:r w:rsidR="008232FA">
        <w:rPr>
          <w:rFonts w:ascii="David" w:hAnsi="David" w:cs="David" w:hint="cs"/>
          <w:sz w:val="24"/>
          <w:szCs w:val="24"/>
          <w:rtl/>
        </w:rPr>
        <w:t>ו</w:t>
      </w:r>
      <w:r w:rsidR="008232FA">
        <w:rPr>
          <w:rFonts w:ascii="David" w:hAnsi="David" w:cs="David"/>
          <w:sz w:val="24"/>
          <w:szCs w:val="24"/>
          <w:rtl/>
        </w:rPr>
        <w:t>אף אחד לא הקדיש חשיבות לקיומ</w:t>
      </w:r>
      <w:r w:rsidR="008232FA">
        <w:rPr>
          <w:rFonts w:ascii="David" w:hAnsi="David" w:cs="David" w:hint="cs"/>
          <w:sz w:val="24"/>
          <w:szCs w:val="24"/>
          <w:rtl/>
        </w:rPr>
        <w:t>ו</w:t>
      </w:r>
      <w:r w:rsidR="008232FA">
        <w:rPr>
          <w:rFonts w:ascii="David" w:hAnsi="David" w:cs="David"/>
          <w:sz w:val="24"/>
          <w:szCs w:val="24"/>
          <w:rtl/>
        </w:rPr>
        <w:t xml:space="preserve"> </w:t>
      </w:r>
      <w:r w:rsidR="008232FA">
        <w:rPr>
          <w:rFonts w:ascii="David" w:hAnsi="David" w:cs="David" w:hint="cs"/>
          <w:sz w:val="24"/>
          <w:szCs w:val="24"/>
          <w:rtl/>
        </w:rPr>
        <w:t xml:space="preserve">(כך במקור) </w:t>
      </w:r>
      <w:r w:rsidR="008232FA">
        <w:rPr>
          <w:rFonts w:ascii="David" w:hAnsi="David" w:cs="David"/>
          <w:sz w:val="24"/>
          <w:szCs w:val="24"/>
          <w:rtl/>
        </w:rPr>
        <w:t xml:space="preserve">ובוודאי לא לדברים שאמר, </w:t>
      </w:r>
      <w:r w:rsidR="008232FA">
        <w:rPr>
          <w:rFonts w:ascii="David" w:hAnsi="David" w:cs="David" w:hint="cs"/>
          <w:sz w:val="24"/>
          <w:szCs w:val="24"/>
          <w:rtl/>
        </w:rPr>
        <w:t xml:space="preserve">אי לכך, </w:t>
      </w:r>
      <w:r>
        <w:rPr>
          <w:rFonts w:ascii="David" w:hAnsi="David" w:cs="David"/>
          <w:sz w:val="24"/>
          <w:szCs w:val="24"/>
          <w:rtl/>
        </w:rPr>
        <w:t xml:space="preserve">בפרט </w:t>
      </w:r>
      <w:r w:rsidR="008232FA">
        <w:rPr>
          <w:rFonts w:ascii="David" w:hAnsi="David" w:cs="David" w:hint="cs"/>
          <w:sz w:val="24"/>
          <w:szCs w:val="24"/>
          <w:rtl/>
        </w:rPr>
        <w:t>כש</w:t>
      </w:r>
      <w:r>
        <w:rPr>
          <w:rFonts w:ascii="David" w:hAnsi="David" w:cs="David"/>
          <w:sz w:val="24"/>
          <w:szCs w:val="24"/>
          <w:rtl/>
        </w:rPr>
        <w:t xml:space="preserve">קיימת אמירה מפורשת של הטו"ר בפרוטוקול הדיון </w:t>
      </w:r>
      <w:r w:rsidR="008232FA">
        <w:rPr>
          <w:rFonts w:ascii="David" w:hAnsi="David" w:cs="David" w:hint="cs"/>
          <w:sz w:val="24"/>
          <w:szCs w:val="24"/>
          <w:rtl/>
        </w:rPr>
        <w:t xml:space="preserve">בעניין היעדר ההסכמה בעניין הקטינים </w:t>
      </w:r>
      <w:r w:rsidR="008232FA" w:rsidRPr="00EB4033">
        <w:rPr>
          <w:rFonts w:ascii="David" w:hAnsi="David" w:cs="David" w:hint="cs"/>
          <w:sz w:val="24"/>
          <w:szCs w:val="24"/>
          <w:rtl/>
        </w:rPr>
        <w:t>(ראו:</w:t>
      </w:r>
      <w:r w:rsidR="00EB4033">
        <w:rPr>
          <w:rFonts w:ascii="David" w:hAnsi="David" w:cs="David" w:hint="cs"/>
          <w:sz w:val="24"/>
          <w:szCs w:val="24"/>
          <w:rtl/>
        </w:rPr>
        <w:t xml:space="preserve"> ציטוט מפרוטוקול הדיון שהובא בסעיף 5 לעיל)</w:t>
      </w:r>
      <w:r w:rsidR="008232FA">
        <w:rPr>
          <w:rFonts w:ascii="David" w:hAnsi="David" w:cs="David" w:hint="cs"/>
          <w:sz w:val="24"/>
          <w:szCs w:val="24"/>
          <w:rtl/>
        </w:rPr>
        <w:t xml:space="preserve">  </w:t>
      </w:r>
      <w:r>
        <w:rPr>
          <w:rFonts w:ascii="David" w:hAnsi="David" w:cs="David"/>
          <w:sz w:val="24"/>
          <w:szCs w:val="24"/>
          <w:rtl/>
        </w:rPr>
        <w:t xml:space="preserve">ומשכך לא סבר </w:t>
      </w:r>
      <w:r w:rsidR="00EB4033">
        <w:rPr>
          <w:rFonts w:ascii="David" w:hAnsi="David" w:cs="David" w:hint="cs"/>
          <w:sz w:val="24"/>
          <w:szCs w:val="24"/>
          <w:rtl/>
        </w:rPr>
        <w:t xml:space="preserve">ב"כ האב </w:t>
      </w:r>
      <w:r>
        <w:rPr>
          <w:rFonts w:ascii="David" w:hAnsi="David" w:cs="David"/>
          <w:sz w:val="24"/>
          <w:szCs w:val="24"/>
          <w:rtl/>
        </w:rPr>
        <w:t xml:space="preserve">כי היה צורך להביא ראיות נוספות, או לשמוע את עדותו של עו"ד סולומון.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6"/>
        </w:numPr>
        <w:spacing w:after="0" w:line="360" w:lineRule="auto"/>
        <w:jc w:val="both"/>
        <w:rPr>
          <w:rFonts w:ascii="David" w:hAnsi="David" w:cs="David"/>
          <w:sz w:val="24"/>
          <w:szCs w:val="24"/>
        </w:rPr>
      </w:pPr>
      <w:r>
        <w:rPr>
          <w:rFonts w:ascii="David" w:hAnsi="David" w:cs="David"/>
          <w:sz w:val="24"/>
          <w:szCs w:val="24"/>
          <w:rtl/>
        </w:rPr>
        <w:t>עוד נטען כי כתב ההגנה הינו ניסיון לתקן דברים שנאמרו בפרו</w:t>
      </w:r>
      <w:r w:rsidR="003A609E">
        <w:rPr>
          <w:rFonts w:ascii="David" w:hAnsi="David" w:cs="David"/>
          <w:sz w:val="24"/>
          <w:szCs w:val="24"/>
          <w:rtl/>
        </w:rPr>
        <w:t>טוקול הדיון מיום 12.08.2024 ו</w:t>
      </w:r>
      <w:r>
        <w:rPr>
          <w:rFonts w:ascii="David" w:hAnsi="David" w:cs="David"/>
          <w:sz w:val="24"/>
          <w:szCs w:val="24"/>
          <w:rtl/>
        </w:rPr>
        <w:t xml:space="preserve">כל הנטען בכתב ההגנה, הינו </w:t>
      </w:r>
      <w:r>
        <w:rPr>
          <w:rFonts w:ascii="David" w:hAnsi="David" w:cs="David"/>
          <w:b/>
          <w:bCs/>
          <w:i/>
          <w:iCs/>
          <w:sz w:val="24"/>
          <w:szCs w:val="24"/>
          <w:rtl/>
        </w:rPr>
        <w:t xml:space="preserve">"גרסה מבושלת" </w:t>
      </w:r>
      <w:r>
        <w:rPr>
          <w:rFonts w:ascii="David" w:hAnsi="David" w:cs="David"/>
          <w:sz w:val="24"/>
          <w:szCs w:val="24"/>
          <w:rtl/>
        </w:rPr>
        <w:t xml:space="preserve">של טענות האם.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3A609E">
      <w:pPr>
        <w:pStyle w:val="ad"/>
        <w:numPr>
          <w:ilvl w:val="0"/>
          <w:numId w:val="6"/>
        </w:numPr>
        <w:spacing w:after="0" w:line="360" w:lineRule="auto"/>
        <w:jc w:val="both"/>
        <w:rPr>
          <w:rFonts w:ascii="David" w:hAnsi="David" w:cs="David"/>
          <w:sz w:val="24"/>
          <w:szCs w:val="24"/>
        </w:rPr>
      </w:pPr>
      <w:r>
        <w:rPr>
          <w:rFonts w:ascii="David" w:hAnsi="David" w:cs="David"/>
          <w:sz w:val="24"/>
          <w:szCs w:val="24"/>
          <w:rtl/>
        </w:rPr>
        <w:t xml:space="preserve">לטענת ב"כ האב </w:t>
      </w:r>
      <w:r>
        <w:rPr>
          <w:rFonts w:ascii="David" w:hAnsi="David" w:cs="David"/>
          <w:b/>
          <w:bCs/>
          <w:i/>
          <w:iCs/>
          <w:sz w:val="24"/>
          <w:szCs w:val="24"/>
          <w:rtl/>
        </w:rPr>
        <w:t>"שני אנשים"</w:t>
      </w:r>
      <w:r w:rsidR="003A609E">
        <w:rPr>
          <w:rFonts w:ascii="David" w:hAnsi="David" w:cs="David" w:hint="cs"/>
          <w:b/>
          <w:bCs/>
          <w:i/>
          <w:iCs/>
          <w:sz w:val="24"/>
          <w:szCs w:val="24"/>
          <w:rtl/>
        </w:rPr>
        <w:t xml:space="preserve"> </w:t>
      </w:r>
      <w:r w:rsidR="003A609E">
        <w:rPr>
          <w:rFonts w:ascii="David" w:hAnsi="David" w:cs="David" w:hint="cs"/>
          <w:sz w:val="24"/>
          <w:szCs w:val="24"/>
          <w:rtl/>
        </w:rPr>
        <w:t>עצמאיים</w:t>
      </w:r>
      <w:r>
        <w:rPr>
          <w:rFonts w:ascii="David" w:hAnsi="David" w:cs="David"/>
          <w:sz w:val="24"/>
          <w:szCs w:val="24"/>
          <w:rtl/>
        </w:rPr>
        <w:t xml:space="preserve"> </w:t>
      </w:r>
      <w:r w:rsidR="003A609E">
        <w:rPr>
          <w:rFonts w:ascii="David" w:hAnsi="David" w:cs="David"/>
          <w:sz w:val="24"/>
          <w:szCs w:val="24"/>
          <w:rtl/>
        </w:rPr>
        <w:t>(ת</w:t>
      </w:r>
      <w:r w:rsidR="0014143A">
        <w:rPr>
          <w:rFonts w:ascii="David" w:hAnsi="David" w:cs="David"/>
          <w:sz w:val="24"/>
          <w:szCs w:val="24"/>
          <w:rtl/>
        </w:rPr>
        <w:t>וך התייחסות לרב א</w:t>
      </w:r>
      <w:r w:rsidR="0014143A">
        <w:rPr>
          <w:rFonts w:ascii="David" w:hAnsi="David" w:cs="David" w:hint="cs"/>
          <w:sz w:val="24"/>
          <w:szCs w:val="24"/>
          <w:rtl/>
        </w:rPr>
        <w:t>'</w:t>
      </w:r>
      <w:r w:rsidR="0014143A">
        <w:rPr>
          <w:rFonts w:ascii="David" w:hAnsi="David" w:cs="David"/>
          <w:sz w:val="24"/>
          <w:szCs w:val="24"/>
          <w:rtl/>
        </w:rPr>
        <w:t xml:space="preserve"> ולרב ר</w:t>
      </w:r>
      <w:r w:rsidR="0014143A">
        <w:rPr>
          <w:rFonts w:ascii="David" w:hAnsi="David" w:cs="David" w:hint="cs"/>
          <w:sz w:val="24"/>
          <w:szCs w:val="24"/>
          <w:rtl/>
        </w:rPr>
        <w:t>'</w:t>
      </w:r>
      <w:r w:rsidR="003A609E">
        <w:rPr>
          <w:rFonts w:ascii="David" w:hAnsi="David" w:cs="David"/>
          <w:sz w:val="24"/>
          <w:szCs w:val="24"/>
          <w:rtl/>
        </w:rPr>
        <w:t>)</w:t>
      </w:r>
      <w:r w:rsidR="003A609E">
        <w:rPr>
          <w:rFonts w:ascii="David" w:hAnsi="David" w:cs="David" w:hint="cs"/>
          <w:sz w:val="24"/>
          <w:szCs w:val="24"/>
          <w:rtl/>
        </w:rPr>
        <w:t xml:space="preserve"> </w:t>
      </w:r>
      <w:r>
        <w:rPr>
          <w:rFonts w:ascii="David" w:hAnsi="David" w:cs="David"/>
          <w:sz w:val="24"/>
          <w:szCs w:val="24"/>
          <w:rtl/>
        </w:rPr>
        <w:t xml:space="preserve">ניהלו משא ומתן מטעם עצמם, </w:t>
      </w:r>
      <w:r w:rsidR="003A609E">
        <w:rPr>
          <w:rFonts w:ascii="David" w:hAnsi="David" w:cs="David" w:hint="cs"/>
          <w:sz w:val="24"/>
          <w:szCs w:val="24"/>
          <w:rtl/>
        </w:rPr>
        <w:t>ולדידו משא ומתן זה</w:t>
      </w:r>
      <w:r w:rsidR="003A609E">
        <w:rPr>
          <w:rFonts w:ascii="David" w:hAnsi="David" w:cs="David"/>
          <w:sz w:val="24"/>
          <w:szCs w:val="24"/>
          <w:rtl/>
        </w:rPr>
        <w:t xml:space="preserve"> אינו מחייב את האב</w:t>
      </w:r>
      <w:r w:rsidR="003A609E">
        <w:rPr>
          <w:rFonts w:ascii="David" w:hAnsi="David" w:cs="David" w:hint="cs"/>
          <w:sz w:val="24"/>
          <w:szCs w:val="24"/>
          <w:rtl/>
        </w:rPr>
        <w:t>.</w:t>
      </w:r>
      <w:r>
        <w:rPr>
          <w:rFonts w:ascii="David" w:hAnsi="David" w:cs="David"/>
          <w:sz w:val="24"/>
          <w:szCs w:val="24"/>
          <w:rtl/>
        </w:rPr>
        <w:t xml:space="preserve"> </w:t>
      </w:r>
      <w:r>
        <w:rPr>
          <w:rFonts w:ascii="David" w:hAnsi="David" w:cs="David"/>
          <w:b/>
          <w:bCs/>
          <w:i/>
          <w:iCs/>
          <w:sz w:val="24"/>
          <w:szCs w:val="24"/>
          <w:rtl/>
        </w:rPr>
        <w:t>"</w:t>
      </w:r>
      <w:r w:rsidR="003A609E">
        <w:rPr>
          <w:rFonts w:ascii="David" w:hAnsi="David" w:cs="David"/>
          <w:b/>
          <w:bCs/>
          <w:i/>
          <w:iCs/>
          <w:sz w:val="24"/>
          <w:szCs w:val="24"/>
          <w:rtl/>
        </w:rPr>
        <w:t>יש פה שני עסקנים שאחד חבר לשני"</w:t>
      </w:r>
      <w:r w:rsidR="003A609E" w:rsidRPr="003A609E">
        <w:rPr>
          <w:rFonts w:ascii="David" w:hAnsi="David" w:cs="David" w:hint="cs"/>
          <w:i/>
          <w:iCs/>
          <w:sz w:val="24"/>
          <w:szCs w:val="24"/>
          <w:rtl/>
        </w:rPr>
        <w:t>,</w:t>
      </w:r>
      <w:r>
        <w:rPr>
          <w:rFonts w:ascii="David" w:hAnsi="David" w:cs="David"/>
          <w:sz w:val="24"/>
          <w:szCs w:val="24"/>
          <w:rtl/>
        </w:rPr>
        <w:t xml:space="preserve"> </w:t>
      </w:r>
      <w:r>
        <w:rPr>
          <w:rFonts w:ascii="David" w:hAnsi="David" w:cs="David"/>
          <w:b/>
          <w:bCs/>
          <w:i/>
          <w:iCs/>
          <w:sz w:val="24"/>
          <w:szCs w:val="24"/>
          <w:rtl/>
        </w:rPr>
        <w:t>"אף אחד לא ביקש ממנו לנהל משא ומתן"</w:t>
      </w:r>
      <w:r>
        <w:rPr>
          <w:rFonts w:ascii="David" w:hAnsi="David" w:cs="David"/>
          <w:sz w:val="24"/>
          <w:szCs w:val="24"/>
          <w:rtl/>
        </w:rPr>
        <w:t xml:space="preserve">, </w:t>
      </w:r>
      <w:r w:rsidR="003A609E">
        <w:rPr>
          <w:rFonts w:ascii="David" w:hAnsi="David" w:cs="David" w:hint="cs"/>
          <w:sz w:val="24"/>
          <w:szCs w:val="24"/>
          <w:rtl/>
        </w:rPr>
        <w:t xml:space="preserve">ולדבריו, </w:t>
      </w:r>
      <w:r>
        <w:rPr>
          <w:rFonts w:ascii="David" w:hAnsi="David" w:cs="David"/>
          <w:sz w:val="24"/>
          <w:szCs w:val="24"/>
          <w:rtl/>
        </w:rPr>
        <w:t xml:space="preserve">קל וחומר שלא היו הסכמות.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6"/>
        </w:numPr>
        <w:spacing w:after="0" w:line="360" w:lineRule="auto"/>
        <w:jc w:val="both"/>
        <w:rPr>
          <w:rFonts w:ascii="David" w:hAnsi="David" w:cs="David"/>
          <w:sz w:val="24"/>
          <w:szCs w:val="24"/>
        </w:rPr>
      </w:pPr>
      <w:r>
        <w:rPr>
          <w:rFonts w:ascii="David" w:hAnsi="David" w:cs="David"/>
          <w:sz w:val="24"/>
          <w:szCs w:val="24"/>
          <w:rtl/>
        </w:rPr>
        <w:t xml:space="preserve">לכשנשאל ב"כ האב ע"י ביהמ"ש מדוע לא זימן את </w:t>
      </w:r>
      <w:r w:rsidR="0014143A">
        <w:rPr>
          <w:rFonts w:ascii="David" w:hAnsi="David" w:cs="David"/>
          <w:sz w:val="24"/>
          <w:szCs w:val="24"/>
          <w:rtl/>
        </w:rPr>
        <w:t>הרב ר'</w:t>
      </w:r>
      <w:r>
        <w:rPr>
          <w:rFonts w:ascii="David" w:hAnsi="David" w:cs="David"/>
          <w:sz w:val="24"/>
          <w:szCs w:val="24"/>
          <w:rtl/>
        </w:rPr>
        <w:t xml:space="preserve"> לעדות, השיב שלא התבקש לעשות כן וכי </w:t>
      </w:r>
      <w:r w:rsidR="0014143A">
        <w:rPr>
          <w:rFonts w:ascii="David" w:hAnsi="David" w:cs="David"/>
          <w:sz w:val="24"/>
          <w:szCs w:val="24"/>
          <w:rtl/>
        </w:rPr>
        <w:t>הרב א'</w:t>
      </w:r>
      <w:r>
        <w:rPr>
          <w:rFonts w:ascii="David" w:hAnsi="David" w:cs="David"/>
          <w:sz w:val="24"/>
          <w:szCs w:val="24"/>
          <w:rtl/>
        </w:rPr>
        <w:t xml:space="preserve"> </w:t>
      </w:r>
      <w:r>
        <w:rPr>
          <w:rFonts w:ascii="David" w:hAnsi="David" w:cs="David"/>
          <w:b/>
          <w:bCs/>
          <w:i/>
          <w:iCs/>
          <w:sz w:val="24"/>
          <w:szCs w:val="24"/>
          <w:rtl/>
        </w:rPr>
        <w:t xml:space="preserve">"הוא עסקן גדול שחובק עולם, מגיע לכל מקום, אין לי מושג מה אני יכול לעשות עם </w:t>
      </w:r>
      <w:r w:rsidR="0014143A">
        <w:rPr>
          <w:rFonts w:ascii="David" w:hAnsi="David" w:cs="David"/>
          <w:b/>
          <w:bCs/>
          <w:i/>
          <w:iCs/>
          <w:sz w:val="24"/>
          <w:szCs w:val="24"/>
          <w:rtl/>
        </w:rPr>
        <w:t>הרב ר'</w:t>
      </w:r>
      <w:r>
        <w:rPr>
          <w:rFonts w:ascii="David" w:hAnsi="David" w:cs="David"/>
          <w:b/>
          <w:bCs/>
          <w:i/>
          <w:iCs/>
          <w:sz w:val="24"/>
          <w:szCs w:val="24"/>
          <w:rtl/>
        </w:rPr>
        <w:t>...אני פחדתי להיפגש איתו...אני פחדתי שיקנו אותו בכסף".</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3A609E">
      <w:pPr>
        <w:pStyle w:val="ad"/>
        <w:numPr>
          <w:ilvl w:val="0"/>
          <w:numId w:val="6"/>
        </w:numPr>
        <w:spacing w:after="0" w:line="360" w:lineRule="auto"/>
        <w:jc w:val="both"/>
        <w:rPr>
          <w:rFonts w:ascii="David" w:hAnsi="David" w:cs="David"/>
          <w:sz w:val="24"/>
          <w:szCs w:val="24"/>
        </w:rPr>
      </w:pPr>
      <w:r>
        <w:rPr>
          <w:rFonts w:ascii="David" w:hAnsi="David" w:cs="David"/>
          <w:sz w:val="24"/>
          <w:szCs w:val="24"/>
          <w:rtl/>
        </w:rPr>
        <w:lastRenderedPageBreak/>
        <w:t xml:space="preserve">עוד הוסיף ב"כ האב כי מדובר היה למעשה ב </w:t>
      </w:r>
      <w:r>
        <w:rPr>
          <w:rFonts w:ascii="David" w:hAnsi="David" w:cs="David"/>
          <w:b/>
          <w:bCs/>
          <w:i/>
          <w:iCs/>
          <w:sz w:val="24"/>
          <w:szCs w:val="24"/>
          <w:rtl/>
        </w:rPr>
        <w:t xml:space="preserve">"שני עסקנים ואדמו"ר שמנסים להחליט עבור הצדדים והם הכתיבו את הגט בצורה לא הדרגתית ופגעו בילדים" </w:t>
      </w:r>
      <w:r>
        <w:rPr>
          <w:rFonts w:ascii="David" w:hAnsi="David" w:cs="David"/>
          <w:sz w:val="24"/>
          <w:szCs w:val="24"/>
          <w:rtl/>
        </w:rPr>
        <w:t>[עניין זה תמוה עד מאד טענת ב"כ האב שכן וכפי המתועד בתום הפרוטוקול, גם במועד כתיבת שורות אלה (</w:t>
      </w:r>
      <w:r w:rsidR="003A609E">
        <w:rPr>
          <w:rFonts w:ascii="David" w:hAnsi="David" w:cs="David" w:hint="cs"/>
          <w:sz w:val="24"/>
          <w:szCs w:val="24"/>
          <w:rtl/>
        </w:rPr>
        <w:t xml:space="preserve">ראו: </w:t>
      </w:r>
      <w:r>
        <w:rPr>
          <w:rFonts w:ascii="David" w:hAnsi="David" w:cs="David"/>
          <w:sz w:val="24"/>
          <w:szCs w:val="24"/>
          <w:rtl/>
        </w:rPr>
        <w:t>הודעה שהוגשה ביום 09.10.2024 ע"י ב"כ האב), ממשיך האב להתייעץ מיוזמתו עם האדמו"ר</w:t>
      </w:r>
      <w:r w:rsidR="003A609E">
        <w:rPr>
          <w:rFonts w:ascii="David" w:hAnsi="David" w:cs="David" w:hint="cs"/>
          <w:sz w:val="24"/>
          <w:szCs w:val="24"/>
          <w:rtl/>
        </w:rPr>
        <w:t>,</w:t>
      </w:r>
      <w:r>
        <w:rPr>
          <w:rFonts w:ascii="David" w:hAnsi="David" w:cs="David"/>
          <w:sz w:val="24"/>
          <w:szCs w:val="24"/>
          <w:rtl/>
        </w:rPr>
        <w:t xml:space="preserve"> וב"כ האב אף ביקש להודיע עד ליום 09.10.2024 האם האב מוכן לקחת את הילדים ל</w:t>
      </w:r>
      <w:r w:rsidR="00F8253F">
        <w:rPr>
          <w:rFonts w:ascii="David" w:hAnsi="David" w:cs="David"/>
          <w:sz w:val="24"/>
          <w:szCs w:val="24"/>
          <w:rtl/>
        </w:rPr>
        <w:t>...</w:t>
      </w:r>
      <w:r>
        <w:rPr>
          <w:rFonts w:ascii="David" w:hAnsi="David" w:cs="David"/>
          <w:sz w:val="24"/>
          <w:szCs w:val="24"/>
          <w:rtl/>
        </w:rPr>
        <w:t>, ככל שהאם תחליט שלא לנסוע עמם ויעשה כן לאחר שהאב יתי</w:t>
      </w:r>
      <w:r w:rsidR="003A609E">
        <w:rPr>
          <w:rFonts w:ascii="David" w:hAnsi="David" w:cs="David"/>
          <w:sz w:val="24"/>
          <w:szCs w:val="24"/>
          <w:rtl/>
        </w:rPr>
        <w:t>יעץ בשנית עם האדמו"ר</w:t>
      </w:r>
      <w:r w:rsidR="003A609E">
        <w:rPr>
          <w:rFonts w:ascii="David" w:hAnsi="David" w:cs="David" w:hint="cs"/>
          <w:sz w:val="24"/>
          <w:szCs w:val="24"/>
          <w:rtl/>
        </w:rPr>
        <w:t xml:space="preserve"> (</w:t>
      </w:r>
      <w:r>
        <w:rPr>
          <w:rFonts w:ascii="David" w:hAnsi="David" w:cs="David"/>
          <w:sz w:val="24"/>
          <w:szCs w:val="24"/>
          <w:rtl/>
        </w:rPr>
        <w:t>ראו עמ' 35, ש' 29 ועמ' 40,ש' 28-29</w:t>
      </w:r>
      <w:r w:rsidR="003A609E">
        <w:rPr>
          <w:rFonts w:ascii="David" w:hAnsi="David" w:cs="David" w:hint="cs"/>
          <w:sz w:val="24"/>
          <w:szCs w:val="24"/>
          <w:rtl/>
        </w:rPr>
        <w:t>)</w:t>
      </w:r>
      <w:r>
        <w:rPr>
          <w:rFonts w:ascii="David" w:hAnsi="David" w:cs="David"/>
          <w:sz w:val="24"/>
          <w:szCs w:val="24"/>
          <w:rtl/>
        </w:rPr>
        <w:t xml:space="preserve">].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3A609E">
      <w:pPr>
        <w:pStyle w:val="ad"/>
        <w:numPr>
          <w:ilvl w:val="0"/>
          <w:numId w:val="6"/>
        </w:numPr>
        <w:spacing w:after="0" w:line="360" w:lineRule="auto"/>
        <w:jc w:val="both"/>
        <w:rPr>
          <w:rFonts w:ascii="David" w:hAnsi="David" w:cs="David"/>
          <w:sz w:val="24"/>
          <w:szCs w:val="24"/>
        </w:rPr>
      </w:pPr>
      <w:r>
        <w:rPr>
          <w:rFonts w:ascii="David" w:hAnsi="David" w:cs="David"/>
          <w:sz w:val="24"/>
          <w:szCs w:val="24"/>
          <w:rtl/>
        </w:rPr>
        <w:t>עוד הוסיף ב"כ האב כי גם בשלבי המשא ומתן התנג</w:t>
      </w:r>
      <w:r w:rsidR="003A609E">
        <w:rPr>
          <w:rFonts w:ascii="David" w:hAnsi="David" w:cs="David"/>
          <w:sz w:val="24"/>
          <w:szCs w:val="24"/>
          <w:rtl/>
        </w:rPr>
        <w:t>ד האב שהילדים יישארו בישראל ו</w:t>
      </w:r>
      <w:r>
        <w:rPr>
          <w:rFonts w:ascii="David" w:hAnsi="David" w:cs="David"/>
          <w:sz w:val="24"/>
          <w:szCs w:val="24"/>
          <w:rtl/>
        </w:rPr>
        <w:t xml:space="preserve">לא נתן הסכמתו להסכמות בין </w:t>
      </w:r>
      <w:r w:rsidR="0014143A">
        <w:rPr>
          <w:rFonts w:ascii="David" w:hAnsi="David" w:cs="David"/>
          <w:sz w:val="24"/>
          <w:szCs w:val="24"/>
          <w:rtl/>
        </w:rPr>
        <w:t>הרב ר' לרב א</w:t>
      </w:r>
      <w:r w:rsidR="0014143A">
        <w:rPr>
          <w:rFonts w:ascii="David" w:hAnsi="David" w:cs="David" w:hint="cs"/>
          <w:sz w:val="24"/>
          <w:szCs w:val="24"/>
          <w:rtl/>
        </w:rPr>
        <w:t>'</w:t>
      </w:r>
      <w:r>
        <w:rPr>
          <w:rFonts w:ascii="David" w:hAnsi="David" w:cs="David"/>
          <w:sz w:val="24"/>
          <w:szCs w:val="24"/>
          <w:rtl/>
        </w:rPr>
        <w:t xml:space="preserve"> בעניין </w:t>
      </w:r>
      <w:r w:rsidR="003A609E">
        <w:rPr>
          <w:rFonts w:ascii="David" w:hAnsi="David" w:cs="David" w:hint="cs"/>
          <w:sz w:val="24"/>
          <w:szCs w:val="24"/>
          <w:rtl/>
        </w:rPr>
        <w:t>זה</w:t>
      </w:r>
      <w:r>
        <w:rPr>
          <w:rFonts w:ascii="David" w:hAnsi="David" w:cs="David"/>
          <w:sz w:val="24"/>
          <w:szCs w:val="24"/>
          <w:rtl/>
        </w:rPr>
        <w:t xml:space="preserve">.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3A609E">
      <w:pPr>
        <w:pStyle w:val="ad"/>
        <w:numPr>
          <w:ilvl w:val="0"/>
          <w:numId w:val="6"/>
        </w:numPr>
        <w:spacing w:after="0" w:line="360" w:lineRule="auto"/>
        <w:jc w:val="both"/>
        <w:rPr>
          <w:rFonts w:ascii="David" w:hAnsi="David" w:cs="David"/>
          <w:sz w:val="24"/>
          <w:szCs w:val="24"/>
        </w:rPr>
      </w:pPr>
      <w:r>
        <w:rPr>
          <w:rFonts w:ascii="David" w:hAnsi="David" w:cs="David"/>
          <w:sz w:val="24"/>
          <w:szCs w:val="24"/>
          <w:rtl/>
        </w:rPr>
        <w:t>עוד הוסיף ב"כ האב</w:t>
      </w:r>
      <w:r w:rsidR="003A609E">
        <w:rPr>
          <w:rFonts w:ascii="David" w:hAnsi="David" w:cs="David" w:hint="cs"/>
          <w:sz w:val="24"/>
          <w:szCs w:val="24"/>
          <w:rtl/>
        </w:rPr>
        <w:t>,</w:t>
      </w:r>
      <w:r w:rsidR="003A609E">
        <w:rPr>
          <w:rFonts w:ascii="David" w:hAnsi="David" w:cs="David"/>
          <w:sz w:val="24"/>
          <w:szCs w:val="24"/>
          <w:rtl/>
        </w:rPr>
        <w:t xml:space="preserve"> </w:t>
      </w:r>
      <w:r w:rsidR="003A609E">
        <w:rPr>
          <w:rFonts w:ascii="David" w:hAnsi="David" w:cs="David" w:hint="cs"/>
          <w:sz w:val="24"/>
          <w:szCs w:val="24"/>
          <w:rtl/>
        </w:rPr>
        <w:t xml:space="preserve">כי </w:t>
      </w:r>
      <w:r>
        <w:rPr>
          <w:rFonts w:ascii="David" w:hAnsi="David" w:cs="David"/>
          <w:sz w:val="24"/>
          <w:szCs w:val="24"/>
          <w:rtl/>
        </w:rPr>
        <w:t>בעניין שלפנינו</w:t>
      </w:r>
      <w:r w:rsidR="003A609E">
        <w:rPr>
          <w:rFonts w:ascii="David" w:hAnsi="David" w:cs="David" w:hint="cs"/>
          <w:sz w:val="24"/>
          <w:szCs w:val="24"/>
          <w:rtl/>
        </w:rPr>
        <w:t xml:space="preserve"> אף לא</w:t>
      </w:r>
      <w:r>
        <w:rPr>
          <w:rFonts w:ascii="David" w:hAnsi="David" w:cs="David"/>
          <w:sz w:val="24"/>
          <w:szCs w:val="24"/>
          <w:rtl/>
        </w:rPr>
        <w:t xml:space="preserve"> נערכה טיוטת הסכם (כפי שהדבר בא לידי ביטוי בעדותה של האם) ומשכך אין להשוות את נסיבותיו של הליך זה לבע"מ 741/11, שם נערכה טיוטת הסכם ואילו בנסיבות שבפנינו, התקיים משא ומתן בלבד.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6"/>
        </w:numPr>
        <w:spacing w:after="0" w:line="360" w:lineRule="auto"/>
        <w:jc w:val="both"/>
        <w:rPr>
          <w:rFonts w:ascii="David" w:hAnsi="David" w:cs="David"/>
          <w:sz w:val="24"/>
          <w:szCs w:val="24"/>
        </w:rPr>
      </w:pPr>
      <w:r>
        <w:rPr>
          <w:rFonts w:ascii="David" w:hAnsi="David" w:cs="David"/>
          <w:sz w:val="24"/>
          <w:szCs w:val="24"/>
          <w:rtl/>
        </w:rPr>
        <w:t xml:space="preserve">אשר על כן, הפנה ב"כ האב לעניין זה לבע"מ 9624/17 שם קבע ביהמ"ש העליון כי לא ניתן להסיק "השלמה" ממשא ומתן שלא הבשיל לכדי הסכם. </w:t>
      </w:r>
    </w:p>
    <w:p w:rsidR="00AD7A83" w:rsidRDefault="00AD7A83" w:rsidP="009863FF">
      <w:pPr>
        <w:pStyle w:val="ad"/>
        <w:spacing w:after="0" w:line="360" w:lineRule="auto"/>
        <w:ind w:left="1440"/>
        <w:jc w:val="both"/>
        <w:rPr>
          <w:rFonts w:ascii="David" w:hAnsi="David" w:cs="David"/>
          <w:sz w:val="24"/>
          <w:szCs w:val="24"/>
        </w:rPr>
      </w:pPr>
    </w:p>
    <w:p w:rsidR="00AD7A83" w:rsidRDefault="00731A0E" w:rsidP="009863FF">
      <w:pPr>
        <w:pStyle w:val="ad"/>
        <w:numPr>
          <w:ilvl w:val="0"/>
          <w:numId w:val="6"/>
        </w:numPr>
        <w:spacing w:after="0" w:line="360" w:lineRule="auto"/>
        <w:jc w:val="both"/>
        <w:rPr>
          <w:rFonts w:ascii="David" w:hAnsi="David" w:cs="David"/>
          <w:sz w:val="24"/>
          <w:szCs w:val="24"/>
        </w:rPr>
      </w:pPr>
      <w:r>
        <w:rPr>
          <w:rFonts w:ascii="David" w:hAnsi="David" w:cs="David" w:hint="cs"/>
          <w:sz w:val="24"/>
          <w:szCs w:val="24"/>
          <w:rtl/>
        </w:rPr>
        <w:t>ל</w:t>
      </w:r>
      <w:r w:rsidR="00AD7A83">
        <w:rPr>
          <w:rFonts w:ascii="David" w:hAnsi="David" w:cs="David"/>
          <w:sz w:val="24"/>
          <w:szCs w:val="24"/>
          <w:rtl/>
        </w:rPr>
        <w:t>בסוף</w:t>
      </w:r>
      <w:r>
        <w:rPr>
          <w:rFonts w:ascii="David" w:hAnsi="David" w:cs="David" w:hint="cs"/>
          <w:sz w:val="24"/>
          <w:szCs w:val="24"/>
          <w:rtl/>
        </w:rPr>
        <w:t>,</w:t>
      </w:r>
      <w:r w:rsidR="00AD7A83">
        <w:rPr>
          <w:rFonts w:ascii="David" w:hAnsi="David" w:cs="David"/>
          <w:sz w:val="24"/>
          <w:szCs w:val="24"/>
          <w:rtl/>
        </w:rPr>
        <w:t xml:space="preserve"> ביקש ב"כ האב להפנות לחו"ד של המומחית שמונתה ע"י ביהמ"ש, ממנה עולה כי טובת הקטינים לחזור להתגורר ב</w:t>
      </w:r>
      <w:r w:rsidR="00F8253F">
        <w:rPr>
          <w:rFonts w:ascii="David" w:hAnsi="David" w:cs="David"/>
          <w:sz w:val="24"/>
          <w:szCs w:val="24"/>
          <w:rtl/>
        </w:rPr>
        <w:t>...</w:t>
      </w:r>
      <w:r w:rsidR="00AD7A83">
        <w:rPr>
          <w:rFonts w:ascii="David" w:hAnsi="David" w:cs="David"/>
          <w:sz w:val="24"/>
          <w:szCs w:val="24"/>
          <w:rtl/>
        </w:rPr>
        <w:t>.</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6"/>
        </w:numPr>
        <w:spacing w:after="0" w:line="360" w:lineRule="auto"/>
        <w:jc w:val="both"/>
        <w:rPr>
          <w:rFonts w:ascii="David" w:hAnsi="David" w:cs="David"/>
          <w:sz w:val="24"/>
          <w:szCs w:val="24"/>
        </w:rPr>
      </w:pPr>
      <w:r>
        <w:rPr>
          <w:rFonts w:ascii="David" w:hAnsi="David" w:cs="David"/>
          <w:sz w:val="24"/>
          <w:szCs w:val="24"/>
          <w:rtl/>
        </w:rPr>
        <w:t>נטל ההוכחה מוטל על כתפי האם, להוכיח שהייתה הסכמה וכי מצויים אנו בגדרי החריגים שבאמנת האג.</w:t>
      </w:r>
    </w:p>
    <w:p w:rsidR="00AD7A83" w:rsidRDefault="00AD7A83" w:rsidP="009863FF">
      <w:pPr>
        <w:pStyle w:val="ad"/>
        <w:spacing w:after="0" w:line="360" w:lineRule="auto"/>
        <w:jc w:val="both"/>
        <w:rPr>
          <w:rFonts w:ascii="David" w:hAnsi="David" w:cs="David"/>
          <w:b/>
          <w:bCs/>
          <w:sz w:val="24"/>
          <w:szCs w:val="24"/>
          <w:u w:val="single"/>
        </w:rPr>
      </w:pPr>
    </w:p>
    <w:p w:rsidR="00AD7A83" w:rsidRPr="0008539F" w:rsidRDefault="00AD7A83" w:rsidP="0008539F">
      <w:pPr>
        <w:pStyle w:val="ad"/>
        <w:spacing w:after="0" w:line="360" w:lineRule="auto"/>
        <w:jc w:val="both"/>
        <w:rPr>
          <w:rFonts w:ascii="David" w:hAnsi="David" w:cs="David"/>
          <w:b/>
          <w:bCs/>
          <w:sz w:val="24"/>
          <w:szCs w:val="24"/>
          <w:u w:val="single"/>
          <w:rtl/>
        </w:rPr>
      </w:pPr>
      <w:r>
        <w:rPr>
          <w:rFonts w:ascii="David" w:hAnsi="David" w:cs="David"/>
          <w:b/>
          <w:bCs/>
          <w:sz w:val="24"/>
          <w:szCs w:val="24"/>
          <w:u w:val="single"/>
          <w:rtl/>
        </w:rPr>
        <w:t>טענות האם:</w:t>
      </w:r>
    </w:p>
    <w:p w:rsidR="00AD7A83" w:rsidRDefault="00AD7A83" w:rsidP="00731A0E">
      <w:pPr>
        <w:pStyle w:val="ad"/>
        <w:numPr>
          <w:ilvl w:val="0"/>
          <w:numId w:val="7"/>
        </w:numPr>
        <w:spacing w:after="0" w:line="360" w:lineRule="auto"/>
        <w:jc w:val="both"/>
        <w:rPr>
          <w:rFonts w:ascii="David" w:hAnsi="David" w:cs="David"/>
          <w:sz w:val="24"/>
          <w:szCs w:val="24"/>
          <w:rtl/>
        </w:rPr>
      </w:pPr>
      <w:r>
        <w:rPr>
          <w:rFonts w:ascii="David" w:hAnsi="David" w:cs="David"/>
          <w:sz w:val="24"/>
          <w:szCs w:val="24"/>
          <w:rtl/>
        </w:rPr>
        <w:t>לשיטת האם יש לדחות את ה</w:t>
      </w:r>
      <w:r w:rsidR="00731A0E">
        <w:rPr>
          <w:rFonts w:ascii="David" w:hAnsi="David" w:cs="David"/>
          <w:sz w:val="24"/>
          <w:szCs w:val="24"/>
          <w:rtl/>
        </w:rPr>
        <w:t>תובענה על הסף, הן בשל כך שהאב</w:t>
      </w:r>
      <w:r>
        <w:rPr>
          <w:rFonts w:ascii="David" w:hAnsi="David" w:cs="David"/>
          <w:sz w:val="24"/>
          <w:szCs w:val="24"/>
          <w:rtl/>
        </w:rPr>
        <w:t xml:space="preserve"> </w:t>
      </w:r>
      <w:r w:rsidR="00731A0E">
        <w:rPr>
          <w:rFonts w:ascii="David" w:hAnsi="David" w:cs="David" w:hint="cs"/>
          <w:sz w:val="24"/>
          <w:szCs w:val="24"/>
          <w:rtl/>
        </w:rPr>
        <w:t>אינו</w:t>
      </w:r>
      <w:r w:rsidR="00731A0E">
        <w:rPr>
          <w:rFonts w:ascii="David" w:hAnsi="David" w:cs="David"/>
          <w:sz w:val="24"/>
          <w:szCs w:val="24"/>
          <w:rtl/>
        </w:rPr>
        <w:t xml:space="preserve"> מבין מה הסעד המבוקש</w:t>
      </w:r>
      <w:r w:rsidR="00731A0E">
        <w:rPr>
          <w:rFonts w:ascii="David" w:hAnsi="David" w:cs="David" w:hint="cs"/>
          <w:sz w:val="24"/>
          <w:szCs w:val="24"/>
          <w:rtl/>
        </w:rPr>
        <w:t>, שכן</w:t>
      </w:r>
      <w:r>
        <w:rPr>
          <w:rFonts w:ascii="David" w:hAnsi="David" w:cs="David"/>
          <w:sz w:val="24"/>
          <w:szCs w:val="24"/>
          <w:rtl/>
        </w:rPr>
        <w:t xml:space="preserve"> לא ניתן לחייב את האם לחזור להתגורר ב</w:t>
      </w:r>
      <w:r w:rsidR="00F8253F">
        <w:rPr>
          <w:rFonts w:ascii="David" w:hAnsi="David" w:cs="David"/>
          <w:sz w:val="24"/>
          <w:szCs w:val="24"/>
          <w:rtl/>
        </w:rPr>
        <w:t>...</w:t>
      </w:r>
      <w:r>
        <w:rPr>
          <w:rFonts w:ascii="David" w:hAnsi="David" w:cs="David"/>
          <w:sz w:val="24"/>
          <w:szCs w:val="24"/>
          <w:rtl/>
        </w:rPr>
        <w:t xml:space="preserve"> וכי ה</w:t>
      </w:r>
      <w:r w:rsidR="00731A0E">
        <w:rPr>
          <w:rFonts w:ascii="David" w:hAnsi="David" w:cs="David" w:hint="cs"/>
          <w:sz w:val="24"/>
          <w:szCs w:val="24"/>
          <w:rtl/>
        </w:rPr>
        <w:t xml:space="preserve">אב </w:t>
      </w:r>
      <w:r w:rsidR="00731A0E">
        <w:rPr>
          <w:rFonts w:ascii="David" w:hAnsi="David" w:cs="David"/>
          <w:sz w:val="24"/>
          <w:szCs w:val="24"/>
          <w:rtl/>
        </w:rPr>
        <w:t xml:space="preserve">אף </w:t>
      </w:r>
      <w:r w:rsidR="00731A0E">
        <w:rPr>
          <w:rFonts w:ascii="David" w:hAnsi="David" w:cs="David" w:hint="cs"/>
          <w:sz w:val="24"/>
          <w:szCs w:val="24"/>
          <w:rtl/>
        </w:rPr>
        <w:t>אינו</w:t>
      </w:r>
      <w:r>
        <w:rPr>
          <w:rFonts w:ascii="David" w:hAnsi="David" w:cs="David"/>
          <w:sz w:val="24"/>
          <w:szCs w:val="24"/>
          <w:rtl/>
        </w:rPr>
        <w:t xml:space="preserve"> רוצה שהקטינים יהיו תחת אחריותו, אלא בקשתו לחייב את הנתבעת לחזור ל</w:t>
      </w:r>
      <w:r w:rsidR="00F8253F">
        <w:rPr>
          <w:rFonts w:ascii="David" w:hAnsi="David" w:cs="David"/>
          <w:sz w:val="24"/>
          <w:szCs w:val="24"/>
          <w:rtl/>
        </w:rPr>
        <w:t>...</w:t>
      </w:r>
      <w:r>
        <w:rPr>
          <w:rFonts w:ascii="David" w:hAnsi="David" w:cs="David"/>
          <w:sz w:val="24"/>
          <w:szCs w:val="24"/>
          <w:rtl/>
        </w:rPr>
        <w:t xml:space="preserve"> ולטפל שם בילדים.</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7"/>
        </w:numPr>
        <w:spacing w:after="0" w:line="360" w:lineRule="auto"/>
        <w:jc w:val="both"/>
        <w:rPr>
          <w:rFonts w:ascii="David" w:hAnsi="David" w:cs="David"/>
          <w:sz w:val="24"/>
          <w:szCs w:val="24"/>
        </w:rPr>
      </w:pPr>
      <w:r>
        <w:rPr>
          <w:rFonts w:ascii="David" w:hAnsi="David" w:cs="David"/>
          <w:sz w:val="24"/>
          <w:szCs w:val="24"/>
          <w:rtl/>
        </w:rPr>
        <w:t>לדברי ב"כ האם דווקא האמור לעיל מחזק את טענת האם כי מתקיימים החריגים הקבועים באמנה בדבר הסכמה או השלמה, שכן בשעה שהאב לא יכול לכפות על האם לחזור ל</w:t>
      </w:r>
      <w:r w:rsidR="00F8253F">
        <w:rPr>
          <w:rFonts w:ascii="David" w:hAnsi="David" w:cs="David"/>
          <w:sz w:val="24"/>
          <w:szCs w:val="24"/>
          <w:rtl/>
        </w:rPr>
        <w:t>...</w:t>
      </w:r>
      <w:r>
        <w:rPr>
          <w:rFonts w:ascii="David" w:hAnsi="David" w:cs="David"/>
          <w:sz w:val="24"/>
          <w:szCs w:val="24"/>
          <w:rtl/>
        </w:rPr>
        <w:t xml:space="preserve"> ובשעה שהוא לא מעוניין לטפל בקטינים ב</w:t>
      </w:r>
      <w:r w:rsidR="00731A0E">
        <w:rPr>
          <w:rFonts w:ascii="David" w:hAnsi="David" w:cs="David"/>
          <w:sz w:val="24"/>
          <w:szCs w:val="24"/>
          <w:rtl/>
        </w:rPr>
        <w:t>עצמו, הרי שדי בכך על מנת ל</w:t>
      </w:r>
      <w:r w:rsidR="00731A0E">
        <w:rPr>
          <w:rFonts w:ascii="David" w:hAnsi="David" w:cs="David" w:hint="cs"/>
          <w:sz w:val="24"/>
          <w:szCs w:val="24"/>
          <w:rtl/>
        </w:rPr>
        <w:t>היכנס לגדרם של</w:t>
      </w:r>
      <w:r>
        <w:rPr>
          <w:rFonts w:ascii="David" w:hAnsi="David" w:cs="David"/>
          <w:sz w:val="24"/>
          <w:szCs w:val="24"/>
          <w:rtl/>
        </w:rPr>
        <w:t xml:space="preserve"> החריגים הקבועים באמנה.</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731A0E">
      <w:pPr>
        <w:pStyle w:val="ad"/>
        <w:numPr>
          <w:ilvl w:val="0"/>
          <w:numId w:val="7"/>
        </w:numPr>
        <w:spacing w:after="0" w:line="360" w:lineRule="auto"/>
        <w:jc w:val="both"/>
        <w:rPr>
          <w:rFonts w:ascii="David" w:hAnsi="David" w:cs="David"/>
          <w:sz w:val="24"/>
          <w:szCs w:val="24"/>
        </w:rPr>
      </w:pPr>
      <w:r>
        <w:rPr>
          <w:rFonts w:ascii="David" w:hAnsi="David" w:cs="David"/>
          <w:sz w:val="24"/>
          <w:szCs w:val="24"/>
          <w:rtl/>
        </w:rPr>
        <w:t xml:space="preserve">כמו כן, טוענת האם כי בקשת האב נגועה בחוסר תום לב ומהווה שימוש פסול בהליכי אמנת האג ומשכך יש לדחות את התובענה </w:t>
      </w:r>
      <w:r w:rsidR="00731A0E">
        <w:rPr>
          <w:rFonts w:ascii="David" w:hAnsi="David" w:cs="David" w:hint="cs"/>
          <w:sz w:val="24"/>
          <w:szCs w:val="24"/>
          <w:rtl/>
        </w:rPr>
        <w:t>גם מטעם זה</w:t>
      </w:r>
      <w:r>
        <w:rPr>
          <w:rFonts w:ascii="David" w:hAnsi="David" w:cs="David"/>
          <w:sz w:val="24"/>
          <w:szCs w:val="24"/>
          <w:rtl/>
        </w:rPr>
        <w:t xml:space="preserve">, שכן בקשת האב נועדה לשרת מטרה </w:t>
      </w:r>
      <w:r w:rsidR="00731A0E">
        <w:rPr>
          <w:rFonts w:ascii="David" w:hAnsi="David" w:cs="David" w:hint="cs"/>
          <w:sz w:val="24"/>
          <w:szCs w:val="24"/>
          <w:rtl/>
        </w:rPr>
        <w:t>ה</w:t>
      </w:r>
      <w:r>
        <w:rPr>
          <w:rFonts w:ascii="David" w:hAnsi="David" w:cs="David"/>
          <w:sz w:val="24"/>
          <w:szCs w:val="24"/>
          <w:rtl/>
        </w:rPr>
        <w:t xml:space="preserve">זרה לאמנה, שכן כפי שנלמד מהעדויות, התובענה הוגשה על מנת להשיג הישגים במסגרת המשא ומתן ולא </w:t>
      </w:r>
      <w:r w:rsidR="00731A0E">
        <w:rPr>
          <w:rFonts w:ascii="David" w:hAnsi="David" w:cs="David" w:hint="cs"/>
          <w:sz w:val="24"/>
          <w:szCs w:val="24"/>
          <w:rtl/>
        </w:rPr>
        <w:t xml:space="preserve">בהכרח </w:t>
      </w:r>
      <w:r w:rsidR="00731A0E">
        <w:rPr>
          <w:rFonts w:ascii="David" w:hAnsi="David" w:cs="David"/>
          <w:sz w:val="24"/>
          <w:szCs w:val="24"/>
          <w:rtl/>
        </w:rPr>
        <w:t xml:space="preserve">על מנת להשיב את הקטינים </w:t>
      </w:r>
      <w:r>
        <w:rPr>
          <w:rFonts w:ascii="David" w:hAnsi="David" w:cs="David"/>
          <w:sz w:val="24"/>
          <w:szCs w:val="24"/>
          <w:rtl/>
        </w:rPr>
        <w:t>ל</w:t>
      </w:r>
      <w:r w:rsidR="00F8253F">
        <w:rPr>
          <w:rFonts w:ascii="David" w:hAnsi="David" w:cs="David"/>
          <w:sz w:val="24"/>
          <w:szCs w:val="24"/>
          <w:rtl/>
        </w:rPr>
        <w:t>...</w:t>
      </w:r>
      <w:r>
        <w:rPr>
          <w:rFonts w:ascii="David" w:hAnsi="David" w:cs="David"/>
          <w:sz w:val="24"/>
          <w:szCs w:val="24"/>
          <w:rtl/>
        </w:rPr>
        <w:t xml:space="preserve">. </w:t>
      </w:r>
    </w:p>
    <w:p w:rsidR="00AD7A83" w:rsidRDefault="00AD7A83" w:rsidP="001F28CD">
      <w:pPr>
        <w:pStyle w:val="ad"/>
        <w:numPr>
          <w:ilvl w:val="0"/>
          <w:numId w:val="7"/>
        </w:numPr>
        <w:spacing w:after="0" w:line="360" w:lineRule="auto"/>
        <w:jc w:val="both"/>
        <w:rPr>
          <w:rFonts w:ascii="David" w:hAnsi="David" w:cs="David"/>
          <w:sz w:val="24"/>
          <w:szCs w:val="24"/>
        </w:rPr>
      </w:pPr>
      <w:r>
        <w:rPr>
          <w:rFonts w:ascii="David" w:hAnsi="David" w:cs="David"/>
          <w:sz w:val="24"/>
          <w:szCs w:val="24"/>
          <w:rtl/>
        </w:rPr>
        <w:lastRenderedPageBreak/>
        <w:t>בעני</w:t>
      </w:r>
      <w:r w:rsidR="001F28CD">
        <w:rPr>
          <w:rFonts w:ascii="David" w:hAnsi="David" w:cs="David"/>
          <w:sz w:val="24"/>
          <w:szCs w:val="24"/>
          <w:rtl/>
        </w:rPr>
        <w:t>יננו מתקיי</w:t>
      </w:r>
      <w:r w:rsidR="001F28CD">
        <w:rPr>
          <w:rFonts w:ascii="David" w:hAnsi="David" w:cs="David" w:hint="cs"/>
          <w:sz w:val="24"/>
          <w:szCs w:val="24"/>
          <w:rtl/>
        </w:rPr>
        <w:t>מים החריגים שבאמנה, הן</w:t>
      </w:r>
      <w:r>
        <w:rPr>
          <w:rFonts w:ascii="David" w:hAnsi="David" w:cs="David"/>
          <w:sz w:val="24"/>
          <w:szCs w:val="24"/>
          <w:rtl/>
        </w:rPr>
        <w:t xml:space="preserve"> רכיב ההשלמה</w:t>
      </w:r>
      <w:r w:rsidR="001F28CD">
        <w:rPr>
          <w:rFonts w:ascii="David" w:hAnsi="David" w:cs="David" w:hint="cs"/>
          <w:sz w:val="24"/>
          <w:szCs w:val="24"/>
          <w:rtl/>
        </w:rPr>
        <w:t xml:space="preserve"> והן רכיב ההסכמה</w:t>
      </w:r>
      <w:r>
        <w:rPr>
          <w:rFonts w:ascii="David" w:hAnsi="David" w:cs="David"/>
          <w:sz w:val="24"/>
          <w:szCs w:val="24"/>
          <w:rtl/>
        </w:rPr>
        <w:t xml:space="preserve">, </w:t>
      </w:r>
      <w:r w:rsidR="001F28CD">
        <w:rPr>
          <w:rFonts w:ascii="David" w:hAnsi="David" w:cs="David" w:hint="cs"/>
          <w:sz w:val="24"/>
          <w:szCs w:val="24"/>
          <w:rtl/>
        </w:rPr>
        <w:t>שבגינם</w:t>
      </w:r>
      <w:r>
        <w:rPr>
          <w:rFonts w:ascii="David" w:hAnsi="David" w:cs="David"/>
          <w:sz w:val="24"/>
          <w:szCs w:val="24"/>
          <w:rtl/>
        </w:rPr>
        <w:t xml:space="preserve"> ביהמ"ש לא יורה על השבת הקטינים למקום המגורים הרגיל שלהם, ולשיטת הנתבעת ניתן להוכיח הסכמה והשלמה גם בפרקי זמן קצרים מאד, אם ביהמ"ש מתרשם ממערך הנסיבות המוצג לפניו שהייתה הסכמה או השלמה</w:t>
      </w:r>
      <w:r w:rsidR="001F28CD">
        <w:rPr>
          <w:rFonts w:ascii="David" w:hAnsi="David" w:cs="David" w:hint="cs"/>
          <w:sz w:val="24"/>
          <w:szCs w:val="24"/>
          <w:rtl/>
        </w:rPr>
        <w:t xml:space="preserve"> וכך יש להסיק מהנסיבות שבפנינו</w:t>
      </w:r>
      <w:r>
        <w:rPr>
          <w:rFonts w:ascii="David" w:hAnsi="David" w:cs="David"/>
          <w:sz w:val="24"/>
          <w:szCs w:val="24"/>
          <w:rtl/>
        </w:rPr>
        <w:t>.</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1F28CD">
      <w:pPr>
        <w:pStyle w:val="ad"/>
        <w:numPr>
          <w:ilvl w:val="0"/>
          <w:numId w:val="7"/>
        </w:numPr>
        <w:spacing w:after="0" w:line="360" w:lineRule="auto"/>
        <w:jc w:val="both"/>
        <w:rPr>
          <w:rFonts w:ascii="David" w:hAnsi="David" w:cs="David"/>
          <w:sz w:val="24"/>
          <w:szCs w:val="24"/>
        </w:rPr>
      </w:pPr>
      <w:r>
        <w:rPr>
          <w:rFonts w:ascii="David" w:hAnsi="David" w:cs="David"/>
          <w:sz w:val="24"/>
          <w:szCs w:val="24"/>
          <w:rtl/>
        </w:rPr>
        <w:t xml:space="preserve">ב"כ האם הפנה לפסיקה שממנה הוא מבקש להוכיח כי גם במקרים </w:t>
      </w:r>
      <w:r w:rsidR="001F28CD">
        <w:rPr>
          <w:rFonts w:ascii="David" w:hAnsi="David" w:cs="David" w:hint="cs"/>
          <w:sz w:val="24"/>
          <w:szCs w:val="24"/>
          <w:rtl/>
        </w:rPr>
        <w:t>ש</w:t>
      </w:r>
      <w:r>
        <w:rPr>
          <w:rFonts w:ascii="David" w:hAnsi="David" w:cs="David"/>
          <w:sz w:val="24"/>
          <w:szCs w:val="24"/>
          <w:rtl/>
        </w:rPr>
        <w:t xml:space="preserve">לא נחתמה טיוטת הסכם, ראה ביהמ"ש בהסכמות שהתגבשו בע"פ כהסכמה או השלמה העומדים בגדרי החריגים הקבועים באמנה.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7"/>
        </w:numPr>
        <w:spacing w:after="0" w:line="360" w:lineRule="auto"/>
        <w:jc w:val="both"/>
        <w:rPr>
          <w:rFonts w:ascii="David" w:hAnsi="David" w:cs="David"/>
          <w:sz w:val="24"/>
          <w:szCs w:val="24"/>
        </w:rPr>
      </w:pPr>
      <w:r>
        <w:rPr>
          <w:rFonts w:ascii="David" w:hAnsi="David" w:cs="David"/>
          <w:sz w:val="24"/>
          <w:szCs w:val="24"/>
          <w:rtl/>
        </w:rPr>
        <w:t>לעניין טענות האב כי אין ללמוד על הסכמה או השלמה שהתגבשה במסגרת משא ומתן (בע"מ 9624/17), הרי שדווקא בפס"ד אליו הפנה ב"כ האב קובע ביהמ"ש העליון</w:t>
      </w:r>
      <w:r w:rsidR="001F28CD">
        <w:rPr>
          <w:rFonts w:ascii="David" w:hAnsi="David" w:cs="David" w:hint="cs"/>
          <w:sz w:val="24"/>
          <w:szCs w:val="24"/>
          <w:rtl/>
        </w:rPr>
        <w:t>,</w:t>
      </w:r>
      <w:r>
        <w:rPr>
          <w:rFonts w:ascii="David" w:hAnsi="David" w:cs="David"/>
          <w:sz w:val="24"/>
          <w:szCs w:val="24"/>
          <w:rtl/>
        </w:rPr>
        <w:t xml:space="preserve"> שככל שביהמ"ש מתרשם מרצף של אירועים</w:t>
      </w:r>
      <w:r w:rsidR="001F28CD">
        <w:rPr>
          <w:rFonts w:ascii="David" w:hAnsi="David" w:cs="David" w:hint="cs"/>
          <w:sz w:val="24"/>
          <w:szCs w:val="24"/>
          <w:rtl/>
        </w:rPr>
        <w:t>,</w:t>
      </w:r>
      <w:r>
        <w:rPr>
          <w:rFonts w:ascii="David" w:hAnsi="David" w:cs="David"/>
          <w:sz w:val="24"/>
          <w:szCs w:val="24"/>
          <w:rtl/>
        </w:rPr>
        <w:t xml:space="preserve"> הוא בהחלט יכול להגיע למסקנה שהתגבשה הסכמה או השלמה.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F307CF">
      <w:pPr>
        <w:pStyle w:val="ad"/>
        <w:numPr>
          <w:ilvl w:val="0"/>
          <w:numId w:val="7"/>
        </w:numPr>
        <w:spacing w:after="0" w:line="360" w:lineRule="auto"/>
        <w:jc w:val="both"/>
        <w:rPr>
          <w:rFonts w:ascii="David" w:hAnsi="David" w:cs="David"/>
          <w:sz w:val="24"/>
          <w:szCs w:val="24"/>
        </w:rPr>
      </w:pPr>
      <w:r>
        <w:rPr>
          <w:rFonts w:ascii="David" w:hAnsi="David" w:cs="David"/>
          <w:sz w:val="24"/>
          <w:szCs w:val="24"/>
          <w:rtl/>
        </w:rPr>
        <w:t xml:space="preserve">כפי שניתן ללמוד מעדותו של </w:t>
      </w:r>
      <w:r w:rsidR="0014143A">
        <w:rPr>
          <w:rFonts w:ascii="David" w:hAnsi="David" w:cs="David"/>
          <w:sz w:val="24"/>
          <w:szCs w:val="24"/>
          <w:rtl/>
        </w:rPr>
        <w:t>הרב א'</w:t>
      </w:r>
      <w:r>
        <w:rPr>
          <w:rFonts w:ascii="David" w:hAnsi="David" w:cs="David"/>
          <w:sz w:val="24"/>
          <w:szCs w:val="24"/>
          <w:rtl/>
        </w:rPr>
        <w:t>, התובענה הוגשה לביהמ"ש מתוך מניעים זרים ומתוך ניסיון להפעיל לחץ על הנתבעת ו</w:t>
      </w:r>
      <w:r w:rsidR="00F307CF">
        <w:rPr>
          <w:rFonts w:ascii="David" w:hAnsi="David" w:cs="David" w:hint="cs"/>
          <w:sz w:val="24"/>
          <w:szCs w:val="24"/>
          <w:rtl/>
        </w:rPr>
        <w:t xml:space="preserve">על מנת </w:t>
      </w:r>
      <w:r>
        <w:rPr>
          <w:rFonts w:ascii="David" w:hAnsi="David" w:cs="David"/>
          <w:sz w:val="24"/>
          <w:szCs w:val="24"/>
          <w:rtl/>
        </w:rPr>
        <w:t>להגיע להישגים ב</w:t>
      </w:r>
      <w:r w:rsidR="00F307CF">
        <w:rPr>
          <w:rFonts w:ascii="David" w:hAnsi="David" w:cs="David"/>
          <w:sz w:val="24"/>
          <w:szCs w:val="24"/>
          <w:rtl/>
        </w:rPr>
        <w:t xml:space="preserve">מסגרת המשא ומתן וזאת כשהאב </w:t>
      </w:r>
      <w:r>
        <w:rPr>
          <w:rFonts w:ascii="David" w:hAnsi="David" w:cs="David"/>
          <w:sz w:val="24"/>
          <w:szCs w:val="24"/>
          <w:rtl/>
        </w:rPr>
        <w:t>עומד על הצורך להשיב הקטינים ל</w:t>
      </w:r>
      <w:r w:rsidR="00F8253F">
        <w:rPr>
          <w:rFonts w:ascii="David" w:hAnsi="David" w:cs="David"/>
          <w:sz w:val="24"/>
          <w:szCs w:val="24"/>
          <w:rtl/>
        </w:rPr>
        <w:t>...</w:t>
      </w:r>
      <w:r w:rsidR="00F307CF">
        <w:rPr>
          <w:rFonts w:ascii="David" w:hAnsi="David" w:cs="David" w:hint="cs"/>
          <w:sz w:val="24"/>
          <w:szCs w:val="24"/>
          <w:rtl/>
        </w:rPr>
        <w:t>, רק למראית עין</w:t>
      </w:r>
      <w:r>
        <w:rPr>
          <w:rFonts w:ascii="David" w:hAnsi="David" w:cs="David"/>
          <w:sz w:val="24"/>
          <w:szCs w:val="24"/>
          <w:rtl/>
        </w:rPr>
        <w:t xml:space="preserve">.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7"/>
        </w:numPr>
        <w:spacing w:after="0" w:line="360" w:lineRule="auto"/>
        <w:jc w:val="both"/>
        <w:rPr>
          <w:rFonts w:ascii="David" w:hAnsi="David" w:cs="David"/>
          <w:sz w:val="24"/>
          <w:szCs w:val="24"/>
        </w:rPr>
      </w:pPr>
      <w:r>
        <w:rPr>
          <w:rFonts w:ascii="David" w:hAnsi="David" w:cs="David"/>
          <w:sz w:val="24"/>
          <w:szCs w:val="24"/>
          <w:rtl/>
        </w:rPr>
        <w:t>לא ניתן לקבל טענת האב כי שלח אנשים לנהל משא ומתן מטעמו</w:t>
      </w:r>
      <w:r w:rsidR="00F307CF">
        <w:rPr>
          <w:rFonts w:ascii="David" w:hAnsi="David" w:cs="David" w:hint="cs"/>
          <w:sz w:val="24"/>
          <w:szCs w:val="24"/>
          <w:rtl/>
        </w:rPr>
        <w:t>,</w:t>
      </w:r>
      <w:r>
        <w:rPr>
          <w:rFonts w:ascii="David" w:hAnsi="David" w:cs="David"/>
          <w:sz w:val="24"/>
          <w:szCs w:val="24"/>
          <w:rtl/>
        </w:rPr>
        <w:t xml:space="preserve"> אך אינו יודע מה </w:t>
      </w:r>
      <w:r w:rsidR="00F307CF">
        <w:rPr>
          <w:rFonts w:ascii="David" w:hAnsi="David" w:cs="David" w:hint="cs"/>
          <w:sz w:val="24"/>
          <w:szCs w:val="24"/>
          <w:rtl/>
        </w:rPr>
        <w:t xml:space="preserve">כלל אותו משא אומן, מה </w:t>
      </w:r>
      <w:r>
        <w:rPr>
          <w:rFonts w:ascii="David" w:hAnsi="David" w:cs="David"/>
          <w:sz w:val="24"/>
          <w:szCs w:val="24"/>
          <w:rtl/>
        </w:rPr>
        <w:t>הוא רוצה</w:t>
      </w:r>
      <w:r w:rsidR="00F307CF">
        <w:rPr>
          <w:rFonts w:ascii="David" w:hAnsi="David" w:cs="David" w:hint="cs"/>
          <w:sz w:val="24"/>
          <w:szCs w:val="24"/>
          <w:rtl/>
        </w:rPr>
        <w:t>,</w:t>
      </w:r>
      <w:r>
        <w:rPr>
          <w:rFonts w:ascii="David" w:hAnsi="David" w:cs="David"/>
          <w:sz w:val="24"/>
          <w:szCs w:val="24"/>
          <w:rtl/>
        </w:rPr>
        <w:t xml:space="preserve"> </w:t>
      </w:r>
      <w:r w:rsidR="00F307CF">
        <w:rPr>
          <w:rFonts w:ascii="David" w:hAnsi="David" w:cs="David" w:hint="cs"/>
          <w:sz w:val="24"/>
          <w:szCs w:val="24"/>
          <w:rtl/>
        </w:rPr>
        <w:t>ו/</w:t>
      </w:r>
      <w:r>
        <w:rPr>
          <w:rFonts w:ascii="David" w:hAnsi="David" w:cs="David"/>
          <w:sz w:val="24"/>
          <w:szCs w:val="24"/>
          <w:rtl/>
        </w:rPr>
        <w:t xml:space="preserve">או מה הוסכם </w:t>
      </w:r>
      <w:r w:rsidR="00F307CF">
        <w:rPr>
          <w:rFonts w:ascii="David" w:hAnsi="David" w:cs="David" w:hint="cs"/>
          <w:sz w:val="24"/>
          <w:szCs w:val="24"/>
          <w:rtl/>
        </w:rPr>
        <w:t xml:space="preserve">בפועל </w:t>
      </w:r>
      <w:r>
        <w:rPr>
          <w:rFonts w:ascii="David" w:hAnsi="David" w:cs="David"/>
          <w:sz w:val="24"/>
          <w:szCs w:val="24"/>
          <w:rtl/>
        </w:rPr>
        <w:t>ומשכך יש לדחות טענת האב כי לא הסכים שהקטינים יישארו בישראל.</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F8253F">
      <w:pPr>
        <w:pStyle w:val="ad"/>
        <w:numPr>
          <w:ilvl w:val="0"/>
          <w:numId w:val="7"/>
        </w:numPr>
        <w:spacing w:after="0" w:line="360" w:lineRule="auto"/>
        <w:jc w:val="both"/>
        <w:rPr>
          <w:rFonts w:ascii="David" w:hAnsi="David" w:cs="David"/>
          <w:sz w:val="24"/>
          <w:szCs w:val="24"/>
        </w:rPr>
      </w:pPr>
      <w:r>
        <w:rPr>
          <w:rFonts w:ascii="David" w:hAnsi="David" w:cs="David"/>
          <w:sz w:val="24"/>
          <w:szCs w:val="24"/>
          <w:rtl/>
        </w:rPr>
        <w:t>כפי שניתן ללמוד מעדותה של האם, שלא נסתרה, כבר בשיחה הראשונה בין הצדדים</w:t>
      </w:r>
      <w:r w:rsidR="00950198">
        <w:rPr>
          <w:rFonts w:ascii="David" w:hAnsi="David" w:cs="David" w:hint="cs"/>
          <w:sz w:val="24"/>
          <w:szCs w:val="24"/>
          <w:rtl/>
        </w:rPr>
        <w:t>,</w:t>
      </w:r>
      <w:r>
        <w:rPr>
          <w:rFonts w:ascii="David" w:hAnsi="David" w:cs="David"/>
          <w:sz w:val="24"/>
          <w:szCs w:val="24"/>
          <w:rtl/>
        </w:rPr>
        <w:t xml:space="preserve"> התגבשה הסכמה שהאם והקטינים יגורו בישראל וכחלק מהסכמה זו, הוסכם שהאב יקנה את חלקה של האם בדירה ובתמורה שתתקבל</w:t>
      </w:r>
      <w:r w:rsidR="00950198">
        <w:rPr>
          <w:rFonts w:ascii="David" w:hAnsi="David" w:cs="David"/>
          <w:sz w:val="24"/>
          <w:szCs w:val="24"/>
          <w:rtl/>
        </w:rPr>
        <w:t xml:space="preserve">, תרכוש האם דירה בעיר </w:t>
      </w:r>
      <w:r w:rsidR="00F8253F">
        <w:rPr>
          <w:rFonts w:ascii="David" w:hAnsi="David" w:cs="David" w:hint="cs"/>
          <w:sz w:val="24"/>
          <w:szCs w:val="24"/>
          <w:rtl/>
        </w:rPr>
        <w:t>...</w:t>
      </w:r>
      <w:r w:rsidR="00950198">
        <w:rPr>
          <w:rFonts w:ascii="David" w:hAnsi="David" w:cs="David" w:hint="cs"/>
          <w:sz w:val="24"/>
          <w:szCs w:val="24"/>
          <w:rtl/>
        </w:rPr>
        <w:t xml:space="preserve">, כאשר </w:t>
      </w:r>
      <w:r>
        <w:rPr>
          <w:rFonts w:ascii="David" w:hAnsi="David" w:cs="David"/>
          <w:sz w:val="24"/>
          <w:szCs w:val="24"/>
          <w:rtl/>
        </w:rPr>
        <w:t>בסוגיה זו</w:t>
      </w:r>
      <w:r w:rsidR="00950198">
        <w:rPr>
          <w:rFonts w:ascii="David" w:hAnsi="David" w:cs="David" w:hint="cs"/>
          <w:sz w:val="24"/>
          <w:szCs w:val="24"/>
          <w:rtl/>
        </w:rPr>
        <w:t>,</w:t>
      </w:r>
      <w:r>
        <w:rPr>
          <w:rFonts w:ascii="David" w:hAnsi="David" w:cs="David"/>
          <w:sz w:val="24"/>
          <w:szCs w:val="24"/>
          <w:rtl/>
        </w:rPr>
        <w:t xml:space="preserve"> התגבשה בין הצדדים הסכמה מובהקת</w:t>
      </w:r>
      <w:r w:rsidR="00950198">
        <w:rPr>
          <w:rFonts w:ascii="David" w:hAnsi="David" w:cs="David" w:hint="cs"/>
          <w:sz w:val="24"/>
          <w:szCs w:val="24"/>
          <w:rtl/>
        </w:rPr>
        <w:t>,</w:t>
      </w:r>
      <w:r>
        <w:rPr>
          <w:rFonts w:ascii="David" w:hAnsi="David" w:cs="David"/>
          <w:sz w:val="24"/>
          <w:szCs w:val="24"/>
          <w:rtl/>
        </w:rPr>
        <w:t xml:space="preserve"> אשר מלמדת </w:t>
      </w:r>
      <w:r w:rsidR="00950198">
        <w:rPr>
          <w:rFonts w:ascii="David" w:hAnsi="David" w:cs="David" w:hint="cs"/>
          <w:sz w:val="24"/>
          <w:szCs w:val="24"/>
          <w:rtl/>
        </w:rPr>
        <w:t xml:space="preserve">אף היא </w:t>
      </w:r>
      <w:r>
        <w:rPr>
          <w:rFonts w:ascii="David" w:hAnsi="David" w:cs="David"/>
          <w:sz w:val="24"/>
          <w:szCs w:val="24"/>
          <w:rtl/>
        </w:rPr>
        <w:t>על הסכ</w:t>
      </w:r>
      <w:r w:rsidR="00950198">
        <w:rPr>
          <w:rFonts w:ascii="David" w:hAnsi="David" w:cs="David"/>
          <w:sz w:val="24"/>
          <w:szCs w:val="24"/>
          <w:rtl/>
        </w:rPr>
        <w:t xml:space="preserve">מתו של האב </w:t>
      </w:r>
      <w:r w:rsidR="00950198">
        <w:rPr>
          <w:rFonts w:ascii="David" w:hAnsi="David" w:cs="David" w:hint="cs"/>
          <w:sz w:val="24"/>
          <w:szCs w:val="24"/>
          <w:rtl/>
        </w:rPr>
        <w:t>ש</w:t>
      </w:r>
      <w:r>
        <w:rPr>
          <w:rFonts w:ascii="David" w:hAnsi="David" w:cs="David"/>
          <w:sz w:val="24"/>
          <w:szCs w:val="24"/>
          <w:rtl/>
        </w:rPr>
        <w:t xml:space="preserve">הקטינים ימשיכו להתגורר בישראל. </w:t>
      </w:r>
    </w:p>
    <w:p w:rsidR="00AD7A83" w:rsidRPr="00950198" w:rsidRDefault="00AD7A83" w:rsidP="009863FF">
      <w:pPr>
        <w:pStyle w:val="ad"/>
        <w:spacing w:after="0" w:line="360" w:lineRule="auto"/>
        <w:ind w:left="1440"/>
        <w:jc w:val="both"/>
        <w:rPr>
          <w:rFonts w:ascii="David" w:hAnsi="David" w:cs="David"/>
          <w:sz w:val="24"/>
          <w:szCs w:val="24"/>
        </w:rPr>
      </w:pPr>
    </w:p>
    <w:p w:rsidR="00AD7A83" w:rsidRDefault="00AD7A83" w:rsidP="009863FF">
      <w:pPr>
        <w:pStyle w:val="ad"/>
        <w:numPr>
          <w:ilvl w:val="0"/>
          <w:numId w:val="7"/>
        </w:numPr>
        <w:spacing w:after="0" w:line="360" w:lineRule="auto"/>
        <w:jc w:val="both"/>
        <w:rPr>
          <w:rFonts w:ascii="David" w:hAnsi="David" w:cs="David"/>
          <w:sz w:val="24"/>
          <w:szCs w:val="24"/>
        </w:rPr>
      </w:pPr>
      <w:r>
        <w:rPr>
          <w:rFonts w:ascii="David" w:hAnsi="David" w:cs="David"/>
          <w:sz w:val="24"/>
          <w:szCs w:val="24"/>
          <w:rtl/>
        </w:rPr>
        <w:t>כמו כן, כל הנסיבות</w:t>
      </w:r>
      <w:r w:rsidR="00950198">
        <w:rPr>
          <w:rFonts w:ascii="David" w:hAnsi="David" w:cs="David" w:hint="cs"/>
          <w:sz w:val="24"/>
          <w:szCs w:val="24"/>
          <w:rtl/>
        </w:rPr>
        <w:t>,</w:t>
      </w:r>
      <w:r>
        <w:rPr>
          <w:rFonts w:ascii="David" w:hAnsi="David" w:cs="David"/>
          <w:sz w:val="24"/>
          <w:szCs w:val="24"/>
          <w:rtl/>
        </w:rPr>
        <w:t xml:space="preserve"> לרבות העובדה כי מתנהל משא ומתן בישראל על כל העניינים הכרוכים בגירושין</w:t>
      </w:r>
      <w:r w:rsidR="00950198">
        <w:rPr>
          <w:rFonts w:ascii="David" w:hAnsi="David" w:cs="David" w:hint="cs"/>
          <w:sz w:val="24"/>
          <w:szCs w:val="24"/>
          <w:rtl/>
        </w:rPr>
        <w:t xml:space="preserve"> </w:t>
      </w:r>
      <w:r>
        <w:rPr>
          <w:rFonts w:ascii="David" w:hAnsi="David" w:cs="David"/>
          <w:sz w:val="24"/>
          <w:szCs w:val="24"/>
          <w:rtl/>
        </w:rPr>
        <w:t>(כפי שהדבר בא לידי ביטוי בהחלטת בית הדין הרבני ובדואר אלקטרוני שנשלח ע"י ב"כ האב), מלמדות על הסכמת הצדדים כי הקטינים ימשיכו להתגורר בישראל</w:t>
      </w:r>
      <w:r w:rsidR="00950198">
        <w:rPr>
          <w:rFonts w:ascii="David" w:hAnsi="David" w:cs="David" w:hint="cs"/>
          <w:sz w:val="24"/>
          <w:szCs w:val="24"/>
          <w:rtl/>
        </w:rPr>
        <w:t xml:space="preserve"> ועל כן ביקשו להסדיר את כל העניינים הכרוכ</w:t>
      </w:r>
      <w:r w:rsidR="0002582C">
        <w:rPr>
          <w:rFonts w:ascii="David" w:hAnsi="David" w:cs="David" w:hint="cs"/>
          <w:sz w:val="24"/>
          <w:szCs w:val="24"/>
          <w:rtl/>
        </w:rPr>
        <w:t>ים בגירושין דווקא בישראל</w:t>
      </w:r>
      <w:r w:rsidR="001530BE">
        <w:rPr>
          <w:rFonts w:ascii="David" w:hAnsi="David" w:cs="David" w:hint="cs"/>
          <w:sz w:val="24"/>
          <w:szCs w:val="24"/>
          <w:rtl/>
        </w:rPr>
        <w:t xml:space="preserve"> (והדבר סותר את טענת האב כי מלכתחילה הייתה הסכמה שמיד לאחר הגט, ישובו הצדדים ל</w:t>
      </w:r>
      <w:r w:rsidR="00F8253F">
        <w:rPr>
          <w:rFonts w:ascii="David" w:hAnsi="David" w:cs="David" w:hint="cs"/>
          <w:sz w:val="24"/>
          <w:szCs w:val="24"/>
          <w:rtl/>
        </w:rPr>
        <w:t>...</w:t>
      </w:r>
      <w:r w:rsidR="001530BE">
        <w:rPr>
          <w:rFonts w:ascii="David" w:hAnsi="David" w:cs="David" w:hint="cs"/>
          <w:sz w:val="24"/>
          <w:szCs w:val="24"/>
          <w:rtl/>
        </w:rPr>
        <w:t xml:space="preserve"> על מנת לברר את יתר העניינים שבמחלוקת)</w:t>
      </w:r>
      <w:r>
        <w:rPr>
          <w:rFonts w:ascii="David" w:hAnsi="David" w:cs="David"/>
          <w:sz w:val="24"/>
          <w:szCs w:val="24"/>
          <w:rtl/>
        </w:rPr>
        <w:t xml:space="preserve">. </w:t>
      </w:r>
    </w:p>
    <w:p w:rsidR="00AD7A83" w:rsidRPr="0002582C" w:rsidRDefault="00AD7A83" w:rsidP="009863FF">
      <w:pPr>
        <w:pStyle w:val="ad"/>
        <w:spacing w:after="0" w:line="360" w:lineRule="auto"/>
        <w:ind w:left="1440"/>
        <w:jc w:val="both"/>
        <w:rPr>
          <w:rFonts w:ascii="David" w:hAnsi="David" w:cs="David"/>
          <w:sz w:val="24"/>
          <w:szCs w:val="24"/>
        </w:rPr>
      </w:pPr>
    </w:p>
    <w:p w:rsidR="00AD7A83" w:rsidRDefault="00B33694" w:rsidP="009863FF">
      <w:pPr>
        <w:pStyle w:val="ad"/>
        <w:numPr>
          <w:ilvl w:val="0"/>
          <w:numId w:val="7"/>
        </w:numPr>
        <w:spacing w:after="0" w:line="360" w:lineRule="auto"/>
        <w:jc w:val="both"/>
        <w:rPr>
          <w:rFonts w:ascii="David" w:hAnsi="David" w:cs="David"/>
          <w:sz w:val="24"/>
          <w:szCs w:val="24"/>
        </w:rPr>
      </w:pPr>
      <w:r>
        <w:rPr>
          <w:rFonts w:ascii="David" w:hAnsi="David" w:cs="David"/>
          <w:sz w:val="24"/>
          <w:szCs w:val="24"/>
          <w:rtl/>
        </w:rPr>
        <w:t xml:space="preserve">העובדה </w:t>
      </w:r>
      <w:r>
        <w:rPr>
          <w:rFonts w:ascii="David" w:hAnsi="David" w:cs="David" w:hint="cs"/>
          <w:sz w:val="24"/>
          <w:szCs w:val="24"/>
          <w:rtl/>
        </w:rPr>
        <w:t>ש</w:t>
      </w:r>
      <w:r w:rsidR="00AD7A83">
        <w:rPr>
          <w:rFonts w:ascii="David" w:hAnsi="David" w:cs="David"/>
          <w:sz w:val="24"/>
          <w:szCs w:val="24"/>
          <w:rtl/>
        </w:rPr>
        <w:t xml:space="preserve">התובע בחר שלא להעיד את עו"ד סולומון ואת </w:t>
      </w:r>
      <w:r w:rsidR="0014143A">
        <w:rPr>
          <w:rFonts w:ascii="David" w:hAnsi="David" w:cs="David"/>
          <w:sz w:val="24"/>
          <w:szCs w:val="24"/>
          <w:rtl/>
        </w:rPr>
        <w:t>הרב ר'</w:t>
      </w:r>
      <w:r w:rsidR="00AD7A83">
        <w:rPr>
          <w:rFonts w:ascii="David" w:hAnsi="David" w:cs="David"/>
          <w:sz w:val="24"/>
          <w:szCs w:val="24"/>
          <w:rtl/>
        </w:rPr>
        <w:t xml:space="preserve"> אשר ייצגו אותו</w:t>
      </w:r>
      <w:r>
        <w:rPr>
          <w:rFonts w:ascii="David" w:hAnsi="David" w:cs="David" w:hint="cs"/>
          <w:sz w:val="24"/>
          <w:szCs w:val="24"/>
          <w:rtl/>
        </w:rPr>
        <w:t>, ניהלו משא ומתן בשמו ואף הגיעו להסכמות בשמו</w:t>
      </w:r>
      <w:r w:rsidR="00AD7A83">
        <w:rPr>
          <w:rFonts w:ascii="David" w:hAnsi="David" w:cs="David"/>
          <w:sz w:val="24"/>
          <w:szCs w:val="24"/>
          <w:rtl/>
        </w:rPr>
        <w:t>, מלמד</w:t>
      </w:r>
      <w:r>
        <w:rPr>
          <w:rFonts w:ascii="David" w:hAnsi="David" w:cs="David" w:hint="cs"/>
          <w:sz w:val="24"/>
          <w:szCs w:val="24"/>
          <w:rtl/>
        </w:rPr>
        <w:t>ת</w:t>
      </w:r>
      <w:r>
        <w:rPr>
          <w:rFonts w:ascii="David" w:hAnsi="David" w:cs="David"/>
          <w:sz w:val="24"/>
          <w:szCs w:val="24"/>
          <w:rtl/>
        </w:rPr>
        <w:t xml:space="preserve"> על כך שככל </w:t>
      </w:r>
      <w:r w:rsidR="00AD7A83">
        <w:rPr>
          <w:rFonts w:ascii="David" w:hAnsi="David" w:cs="David"/>
          <w:sz w:val="24"/>
          <w:szCs w:val="24"/>
          <w:rtl/>
        </w:rPr>
        <w:t xml:space="preserve">שעדויותיהם היו נשמעות, הרי שהללו היו משמשות לחובת האב והיו מפריכות את גרסתו. </w:t>
      </w:r>
    </w:p>
    <w:p w:rsidR="00AD7A83" w:rsidRPr="00B33694" w:rsidRDefault="00AD7A83" w:rsidP="009863FF">
      <w:pPr>
        <w:pStyle w:val="ad"/>
        <w:spacing w:after="0" w:line="360" w:lineRule="auto"/>
        <w:ind w:left="1440"/>
        <w:jc w:val="both"/>
        <w:rPr>
          <w:rFonts w:ascii="David" w:hAnsi="David" w:cs="David"/>
          <w:sz w:val="24"/>
          <w:szCs w:val="24"/>
        </w:rPr>
      </w:pPr>
    </w:p>
    <w:p w:rsidR="00AD7A83" w:rsidRDefault="00AD7A83" w:rsidP="00B33694">
      <w:pPr>
        <w:pStyle w:val="ad"/>
        <w:numPr>
          <w:ilvl w:val="0"/>
          <w:numId w:val="7"/>
        </w:numPr>
        <w:spacing w:after="0" w:line="360" w:lineRule="auto"/>
        <w:jc w:val="both"/>
        <w:rPr>
          <w:rFonts w:ascii="David" w:hAnsi="David" w:cs="David"/>
          <w:sz w:val="24"/>
          <w:szCs w:val="24"/>
        </w:rPr>
      </w:pPr>
      <w:r>
        <w:rPr>
          <w:rFonts w:ascii="David" w:hAnsi="David" w:cs="David"/>
          <w:sz w:val="24"/>
          <w:szCs w:val="24"/>
          <w:rtl/>
        </w:rPr>
        <w:t>לא ניתן להתעלם מהסכמותיו של עו"ד סולומון</w:t>
      </w:r>
      <w:r w:rsidR="00B33694">
        <w:rPr>
          <w:rFonts w:ascii="David" w:hAnsi="David" w:cs="David" w:hint="cs"/>
          <w:sz w:val="24"/>
          <w:szCs w:val="24"/>
          <w:rtl/>
        </w:rPr>
        <w:t xml:space="preserve">, </w:t>
      </w:r>
      <w:r>
        <w:rPr>
          <w:rFonts w:ascii="David" w:hAnsi="David" w:cs="David"/>
          <w:sz w:val="24"/>
          <w:szCs w:val="24"/>
          <w:rtl/>
        </w:rPr>
        <w:t xml:space="preserve">שהיה שליח של האב וייצג אותו בהליך בבית הדין הרבני, </w:t>
      </w:r>
      <w:r w:rsidR="00B33694">
        <w:rPr>
          <w:rFonts w:ascii="David" w:hAnsi="David" w:cs="David" w:hint="cs"/>
          <w:sz w:val="24"/>
          <w:szCs w:val="24"/>
          <w:rtl/>
        </w:rPr>
        <w:t>או להקטין את משמעותן המשפטית</w:t>
      </w:r>
      <w:r w:rsidR="00B33694">
        <w:rPr>
          <w:rFonts w:ascii="David" w:hAnsi="David" w:cs="David"/>
          <w:sz w:val="24"/>
          <w:szCs w:val="24"/>
          <w:rtl/>
        </w:rPr>
        <w:t xml:space="preserve"> </w:t>
      </w:r>
      <w:r>
        <w:rPr>
          <w:rFonts w:ascii="David" w:hAnsi="David" w:cs="David"/>
          <w:sz w:val="24"/>
          <w:szCs w:val="24"/>
          <w:rtl/>
        </w:rPr>
        <w:t xml:space="preserve">ומשכך יש לראות בהסכמות שהתגבשו </w:t>
      </w:r>
      <w:r w:rsidR="00B33694">
        <w:rPr>
          <w:rFonts w:ascii="David" w:hAnsi="David" w:cs="David"/>
          <w:sz w:val="24"/>
          <w:szCs w:val="24"/>
          <w:rtl/>
        </w:rPr>
        <w:t>אל מול עו"ד סלומון ככאלה המלמד</w:t>
      </w:r>
      <w:r w:rsidR="00B33694">
        <w:rPr>
          <w:rFonts w:ascii="David" w:hAnsi="David" w:cs="David" w:hint="cs"/>
          <w:sz w:val="24"/>
          <w:szCs w:val="24"/>
          <w:rtl/>
        </w:rPr>
        <w:t>ות</w:t>
      </w:r>
      <w:r>
        <w:rPr>
          <w:rFonts w:ascii="David" w:hAnsi="David" w:cs="David"/>
          <w:sz w:val="24"/>
          <w:szCs w:val="24"/>
          <w:rtl/>
        </w:rPr>
        <w:t xml:space="preserve"> על הסכמה </w:t>
      </w:r>
      <w:r w:rsidR="00B33694">
        <w:rPr>
          <w:rFonts w:ascii="David" w:hAnsi="David" w:cs="David" w:hint="cs"/>
          <w:sz w:val="24"/>
          <w:szCs w:val="24"/>
          <w:rtl/>
        </w:rPr>
        <w:t>ו/</w:t>
      </w:r>
      <w:r>
        <w:rPr>
          <w:rFonts w:ascii="David" w:hAnsi="David" w:cs="David"/>
          <w:sz w:val="24"/>
          <w:szCs w:val="24"/>
          <w:rtl/>
        </w:rPr>
        <w:t>או השלמה של האב לה</w:t>
      </w:r>
      <w:r w:rsidR="00B33694">
        <w:rPr>
          <w:rFonts w:ascii="David" w:hAnsi="David" w:cs="David" w:hint="cs"/>
          <w:sz w:val="24"/>
          <w:szCs w:val="24"/>
          <w:rtl/>
        </w:rPr>
        <w:t>י</w:t>
      </w:r>
      <w:r>
        <w:rPr>
          <w:rFonts w:ascii="David" w:hAnsi="David" w:cs="David"/>
          <w:sz w:val="24"/>
          <w:szCs w:val="24"/>
          <w:rtl/>
        </w:rPr>
        <w:t>שאר</w:t>
      </w:r>
      <w:r w:rsidR="00B33694">
        <w:rPr>
          <w:rFonts w:ascii="David" w:hAnsi="David" w:cs="David" w:hint="cs"/>
          <w:sz w:val="24"/>
          <w:szCs w:val="24"/>
          <w:rtl/>
        </w:rPr>
        <w:t>ו</w:t>
      </w:r>
      <w:r>
        <w:rPr>
          <w:rFonts w:ascii="David" w:hAnsi="David" w:cs="David"/>
          <w:sz w:val="24"/>
          <w:szCs w:val="24"/>
          <w:rtl/>
        </w:rPr>
        <w:t>תם של הקטינים בישראל.</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4E3A10">
      <w:pPr>
        <w:pStyle w:val="ad"/>
        <w:numPr>
          <w:ilvl w:val="0"/>
          <w:numId w:val="7"/>
        </w:numPr>
        <w:spacing w:after="0" w:line="360" w:lineRule="auto"/>
        <w:jc w:val="both"/>
        <w:rPr>
          <w:rFonts w:ascii="David" w:hAnsi="David" w:cs="David"/>
          <w:sz w:val="24"/>
          <w:szCs w:val="24"/>
        </w:rPr>
      </w:pPr>
      <w:r>
        <w:rPr>
          <w:rFonts w:ascii="David" w:hAnsi="David" w:cs="David"/>
          <w:sz w:val="24"/>
          <w:szCs w:val="24"/>
          <w:rtl/>
        </w:rPr>
        <w:t xml:space="preserve">גרסת האם מקבלת חיזוק מעדותו של </w:t>
      </w:r>
      <w:r w:rsidR="0014143A">
        <w:rPr>
          <w:rFonts w:ascii="David" w:hAnsi="David" w:cs="David"/>
          <w:sz w:val="24"/>
          <w:szCs w:val="24"/>
          <w:rtl/>
        </w:rPr>
        <w:t>הרב א'</w:t>
      </w:r>
      <w:r w:rsidR="004E3A10">
        <w:rPr>
          <w:rFonts w:ascii="David" w:hAnsi="David" w:cs="David"/>
          <w:sz w:val="24"/>
          <w:szCs w:val="24"/>
          <w:rtl/>
        </w:rPr>
        <w:t xml:space="preserve">, אשר העיד </w:t>
      </w:r>
      <w:r w:rsidR="004E3A10">
        <w:rPr>
          <w:rFonts w:ascii="David" w:hAnsi="David" w:cs="David" w:hint="cs"/>
          <w:sz w:val="24"/>
          <w:szCs w:val="24"/>
          <w:rtl/>
        </w:rPr>
        <w:t>אודות ה</w:t>
      </w:r>
      <w:r>
        <w:rPr>
          <w:rFonts w:ascii="David" w:hAnsi="David" w:cs="David"/>
          <w:sz w:val="24"/>
          <w:szCs w:val="24"/>
          <w:rtl/>
        </w:rPr>
        <w:t xml:space="preserve">הסכמות שגובשו בינו לבין </w:t>
      </w:r>
      <w:r w:rsidR="0014143A">
        <w:rPr>
          <w:rFonts w:ascii="David" w:hAnsi="David" w:cs="David"/>
          <w:sz w:val="24"/>
          <w:szCs w:val="24"/>
          <w:rtl/>
        </w:rPr>
        <w:t>הרב ר'</w:t>
      </w:r>
      <w:r w:rsidR="004E3A10">
        <w:rPr>
          <w:rFonts w:ascii="David" w:hAnsi="David" w:cs="David" w:hint="cs"/>
          <w:sz w:val="24"/>
          <w:szCs w:val="24"/>
          <w:rtl/>
        </w:rPr>
        <w:t xml:space="preserve"> שכללו את הישארות הקטינים בישראל</w:t>
      </w:r>
      <w:r>
        <w:rPr>
          <w:rFonts w:ascii="David" w:hAnsi="David" w:cs="David"/>
          <w:sz w:val="24"/>
          <w:szCs w:val="24"/>
          <w:rtl/>
        </w:rPr>
        <w:t xml:space="preserve"> </w:t>
      </w:r>
      <w:r w:rsidR="004E3A10">
        <w:rPr>
          <w:rFonts w:ascii="David" w:hAnsi="David" w:cs="David" w:hint="cs"/>
          <w:sz w:val="24"/>
          <w:szCs w:val="24"/>
          <w:rtl/>
        </w:rPr>
        <w:t>(כ</w:t>
      </w:r>
      <w:r>
        <w:rPr>
          <w:rFonts w:ascii="David" w:hAnsi="David" w:cs="David"/>
          <w:sz w:val="24"/>
          <w:szCs w:val="24"/>
          <w:rtl/>
        </w:rPr>
        <w:t>שנאמר לו בזמן אמת כי אין ממש בהצהרה לפיה ה</w:t>
      </w:r>
      <w:r w:rsidR="004E3A10">
        <w:rPr>
          <w:rFonts w:ascii="David" w:hAnsi="David" w:cs="David"/>
          <w:sz w:val="24"/>
          <w:szCs w:val="24"/>
          <w:rtl/>
        </w:rPr>
        <w:t>אב מעוניין בהשבת הקטינים ל</w:t>
      </w:r>
      <w:r w:rsidR="00F8253F">
        <w:rPr>
          <w:rFonts w:ascii="David" w:hAnsi="David" w:cs="David"/>
          <w:sz w:val="24"/>
          <w:szCs w:val="24"/>
          <w:rtl/>
        </w:rPr>
        <w:t>...</w:t>
      </w:r>
      <w:r>
        <w:rPr>
          <w:rFonts w:ascii="David" w:hAnsi="David" w:cs="David"/>
          <w:sz w:val="24"/>
          <w:szCs w:val="24"/>
          <w:rtl/>
        </w:rPr>
        <w:t xml:space="preserve"> וכי התביעה שביהמ"ש דן ב</w:t>
      </w:r>
      <w:r w:rsidR="004E3A10">
        <w:rPr>
          <w:rFonts w:ascii="David" w:hAnsi="David" w:cs="David"/>
          <w:sz w:val="24"/>
          <w:szCs w:val="24"/>
          <w:rtl/>
        </w:rPr>
        <w:t>ה כעת הוגשה ממניעים טקטיים בלבד</w:t>
      </w:r>
      <w:r w:rsidR="004E3A10">
        <w:rPr>
          <w:rFonts w:ascii="David" w:hAnsi="David" w:cs="David" w:hint="cs"/>
          <w:sz w:val="24"/>
          <w:szCs w:val="24"/>
          <w:rtl/>
        </w:rPr>
        <w:t>)</w:t>
      </w:r>
      <w:r>
        <w:rPr>
          <w:rFonts w:ascii="David" w:hAnsi="David" w:cs="David"/>
          <w:sz w:val="24"/>
          <w:szCs w:val="24"/>
          <w:rtl/>
        </w:rPr>
        <w:t xml:space="preserve"> ובשעה שעדותו של </w:t>
      </w:r>
      <w:r w:rsidR="0014143A">
        <w:rPr>
          <w:rFonts w:ascii="David" w:hAnsi="David" w:cs="David"/>
          <w:sz w:val="24"/>
          <w:szCs w:val="24"/>
          <w:rtl/>
        </w:rPr>
        <w:t>הרב א'</w:t>
      </w:r>
      <w:r>
        <w:rPr>
          <w:rFonts w:ascii="David" w:hAnsi="David" w:cs="David"/>
          <w:sz w:val="24"/>
          <w:szCs w:val="24"/>
          <w:rtl/>
        </w:rPr>
        <w:t xml:space="preserve"> לא נסתרה והתובע אף לא טרח להביא את המתווך מטעמו (</w:t>
      </w:r>
      <w:r w:rsidR="0014143A">
        <w:rPr>
          <w:rFonts w:ascii="David" w:hAnsi="David" w:cs="David"/>
          <w:sz w:val="24"/>
          <w:szCs w:val="24"/>
          <w:rtl/>
        </w:rPr>
        <w:t>הרב ר'</w:t>
      </w:r>
      <w:r>
        <w:rPr>
          <w:rFonts w:ascii="David" w:hAnsi="David" w:cs="David"/>
          <w:sz w:val="24"/>
          <w:szCs w:val="24"/>
          <w:rtl/>
        </w:rPr>
        <w:t>) יש לקבל עדות זו ולראות בה כעדות מרכזית ומהותית.</w:t>
      </w:r>
    </w:p>
    <w:p w:rsidR="00AD7A83" w:rsidRPr="004E3A10" w:rsidRDefault="00AD7A83" w:rsidP="009863FF">
      <w:pPr>
        <w:pStyle w:val="ad"/>
        <w:spacing w:after="0" w:line="360" w:lineRule="auto"/>
        <w:ind w:left="1440"/>
        <w:jc w:val="both"/>
        <w:rPr>
          <w:rFonts w:ascii="David" w:hAnsi="David" w:cs="David"/>
          <w:sz w:val="24"/>
          <w:szCs w:val="24"/>
        </w:rPr>
      </w:pPr>
    </w:p>
    <w:p w:rsidR="00AD7A83" w:rsidRDefault="00AD7A83" w:rsidP="00991A03">
      <w:pPr>
        <w:pStyle w:val="ad"/>
        <w:numPr>
          <w:ilvl w:val="0"/>
          <w:numId w:val="7"/>
        </w:numPr>
        <w:spacing w:after="0" w:line="360" w:lineRule="auto"/>
        <w:jc w:val="both"/>
        <w:rPr>
          <w:rFonts w:ascii="David" w:hAnsi="David" w:cs="David"/>
          <w:sz w:val="24"/>
          <w:szCs w:val="24"/>
        </w:rPr>
      </w:pPr>
      <w:r>
        <w:rPr>
          <w:rFonts w:ascii="David" w:hAnsi="David" w:cs="David"/>
          <w:sz w:val="24"/>
          <w:szCs w:val="24"/>
          <w:rtl/>
        </w:rPr>
        <w:t>העובדה כי התובע סירב להשמיע</w:t>
      </w:r>
      <w:r w:rsidR="00991A03">
        <w:rPr>
          <w:rFonts w:ascii="David" w:hAnsi="David" w:cs="David" w:hint="cs"/>
          <w:sz w:val="24"/>
          <w:szCs w:val="24"/>
          <w:rtl/>
        </w:rPr>
        <w:t xml:space="preserve"> בביהמ"ש</w:t>
      </w:r>
      <w:r>
        <w:rPr>
          <w:rFonts w:ascii="David" w:hAnsi="David" w:cs="David"/>
          <w:sz w:val="24"/>
          <w:szCs w:val="24"/>
          <w:rtl/>
        </w:rPr>
        <w:t xml:space="preserve"> את ההקלטה של השיחה בין </w:t>
      </w:r>
      <w:r w:rsidR="0014143A">
        <w:rPr>
          <w:rFonts w:ascii="David" w:hAnsi="David" w:cs="David"/>
          <w:sz w:val="24"/>
          <w:szCs w:val="24"/>
          <w:rtl/>
        </w:rPr>
        <w:t>הרב ר' לרב א</w:t>
      </w:r>
      <w:r w:rsidR="0014143A">
        <w:rPr>
          <w:rFonts w:ascii="David" w:hAnsi="David" w:cs="David" w:hint="cs"/>
          <w:sz w:val="24"/>
          <w:szCs w:val="24"/>
          <w:rtl/>
        </w:rPr>
        <w:t>'</w:t>
      </w:r>
      <w:r>
        <w:rPr>
          <w:rFonts w:ascii="David" w:hAnsi="David" w:cs="David"/>
          <w:sz w:val="24"/>
          <w:szCs w:val="24"/>
          <w:rtl/>
        </w:rPr>
        <w:t>, שם נשמע</w:t>
      </w:r>
      <w:r w:rsidR="00991A03">
        <w:rPr>
          <w:rFonts w:ascii="David" w:hAnsi="David" w:cs="David" w:hint="cs"/>
          <w:sz w:val="24"/>
          <w:szCs w:val="24"/>
          <w:rtl/>
        </w:rPr>
        <w:t>, לדבריו,</w:t>
      </w:r>
      <w:r>
        <w:rPr>
          <w:rFonts w:ascii="David" w:hAnsi="David" w:cs="David"/>
          <w:sz w:val="24"/>
          <w:szCs w:val="24"/>
          <w:rtl/>
        </w:rPr>
        <w:t xml:space="preserve"> באופן מפורש כי כל ההסכמות היו על דעת האב</w:t>
      </w:r>
      <w:r w:rsidR="00991A03">
        <w:rPr>
          <w:rFonts w:ascii="David" w:hAnsi="David" w:cs="David" w:hint="cs"/>
          <w:sz w:val="24"/>
          <w:szCs w:val="24"/>
          <w:rtl/>
        </w:rPr>
        <w:t>,</w:t>
      </w:r>
      <w:r>
        <w:rPr>
          <w:rFonts w:ascii="David" w:hAnsi="David" w:cs="David"/>
          <w:sz w:val="24"/>
          <w:szCs w:val="24"/>
          <w:rtl/>
        </w:rPr>
        <w:t xml:space="preserve"> מחזקת אף היא את גרסת האם. </w:t>
      </w:r>
    </w:p>
    <w:p w:rsidR="00AD7A83" w:rsidRDefault="00AD7A83" w:rsidP="009863FF">
      <w:pPr>
        <w:pStyle w:val="ad"/>
        <w:spacing w:after="0" w:line="360" w:lineRule="auto"/>
        <w:ind w:left="1440"/>
        <w:jc w:val="both"/>
        <w:rPr>
          <w:rFonts w:ascii="David" w:hAnsi="David" w:cs="David"/>
          <w:sz w:val="24"/>
          <w:szCs w:val="24"/>
        </w:rPr>
      </w:pPr>
    </w:p>
    <w:p w:rsidR="00AD7A83" w:rsidRDefault="00AD7A83" w:rsidP="00296577">
      <w:pPr>
        <w:pStyle w:val="ad"/>
        <w:numPr>
          <w:ilvl w:val="0"/>
          <w:numId w:val="7"/>
        </w:numPr>
        <w:spacing w:after="0" w:line="360" w:lineRule="auto"/>
        <w:jc w:val="both"/>
        <w:rPr>
          <w:rFonts w:ascii="David" w:hAnsi="David" w:cs="David"/>
          <w:sz w:val="24"/>
          <w:szCs w:val="24"/>
        </w:rPr>
      </w:pPr>
      <w:r>
        <w:rPr>
          <w:rFonts w:ascii="David" w:hAnsi="David" w:cs="David"/>
          <w:sz w:val="24"/>
          <w:szCs w:val="24"/>
          <w:rtl/>
        </w:rPr>
        <w:t>העובדה כי בדיון מחודש 08.2024 הודה האב כי אישר בפני הקט</w:t>
      </w:r>
      <w:r w:rsidR="00296577">
        <w:rPr>
          <w:rFonts w:ascii="David" w:hAnsi="David" w:cs="David"/>
          <w:sz w:val="24"/>
          <w:szCs w:val="24"/>
          <w:rtl/>
        </w:rPr>
        <w:t>ינים שיבוא לפגוש אותם בישראל ו</w:t>
      </w:r>
      <w:r w:rsidR="00296577">
        <w:rPr>
          <w:rFonts w:ascii="David" w:hAnsi="David" w:cs="David" w:hint="cs"/>
          <w:sz w:val="24"/>
          <w:szCs w:val="24"/>
          <w:rtl/>
        </w:rPr>
        <w:t>ש</w:t>
      </w:r>
      <w:r>
        <w:rPr>
          <w:rFonts w:ascii="David" w:hAnsi="David" w:cs="David"/>
          <w:sz w:val="24"/>
          <w:szCs w:val="24"/>
          <w:rtl/>
        </w:rPr>
        <w:t xml:space="preserve">יביא להם </w:t>
      </w:r>
      <w:r w:rsidR="00296577">
        <w:rPr>
          <w:rFonts w:ascii="David" w:hAnsi="David" w:cs="David" w:hint="cs"/>
          <w:sz w:val="24"/>
          <w:szCs w:val="24"/>
          <w:rtl/>
        </w:rPr>
        <w:t xml:space="preserve">את </w:t>
      </w:r>
      <w:r>
        <w:rPr>
          <w:rFonts w:ascii="David" w:hAnsi="David" w:cs="David"/>
          <w:sz w:val="24"/>
          <w:szCs w:val="24"/>
          <w:rtl/>
        </w:rPr>
        <w:t>חפציהם מ</w:t>
      </w:r>
      <w:r w:rsidR="00F8253F">
        <w:rPr>
          <w:rFonts w:ascii="David" w:hAnsi="David" w:cs="David"/>
          <w:sz w:val="24"/>
          <w:szCs w:val="24"/>
          <w:rtl/>
        </w:rPr>
        <w:t>...</w:t>
      </w:r>
      <w:r w:rsidR="00296577">
        <w:rPr>
          <w:rFonts w:ascii="David" w:hAnsi="David" w:cs="David"/>
          <w:sz w:val="24"/>
          <w:szCs w:val="24"/>
          <w:rtl/>
        </w:rPr>
        <w:t>, מחזקת אף היא את טענות האם</w:t>
      </w:r>
      <w:r w:rsidR="00296577">
        <w:rPr>
          <w:rFonts w:ascii="David" w:hAnsi="David" w:cs="David" w:hint="cs"/>
          <w:sz w:val="24"/>
          <w:szCs w:val="24"/>
          <w:rtl/>
        </w:rPr>
        <w:t>.</w:t>
      </w:r>
      <w:r>
        <w:rPr>
          <w:rFonts w:ascii="David" w:hAnsi="David" w:cs="David"/>
          <w:sz w:val="24"/>
          <w:szCs w:val="24"/>
          <w:rtl/>
        </w:rPr>
        <w:t xml:space="preserve"> לכך יש להוסיף </w:t>
      </w:r>
      <w:r w:rsidR="00296577">
        <w:rPr>
          <w:rFonts w:ascii="David" w:hAnsi="David" w:cs="David" w:hint="cs"/>
          <w:sz w:val="24"/>
          <w:szCs w:val="24"/>
          <w:rtl/>
        </w:rPr>
        <w:t xml:space="preserve">את </w:t>
      </w:r>
      <w:r>
        <w:rPr>
          <w:rFonts w:ascii="David" w:hAnsi="David" w:cs="David"/>
          <w:sz w:val="24"/>
          <w:szCs w:val="24"/>
          <w:rtl/>
        </w:rPr>
        <w:t>דברי ב"כ האב מאותו דיון</w:t>
      </w:r>
      <w:r w:rsidR="00296577">
        <w:rPr>
          <w:rFonts w:ascii="David" w:hAnsi="David" w:cs="David" w:hint="cs"/>
          <w:sz w:val="24"/>
          <w:szCs w:val="24"/>
          <w:rtl/>
        </w:rPr>
        <w:t>,</w:t>
      </w:r>
      <w:r>
        <w:rPr>
          <w:rFonts w:ascii="David" w:hAnsi="David" w:cs="David"/>
          <w:sz w:val="24"/>
          <w:szCs w:val="24"/>
          <w:rtl/>
        </w:rPr>
        <w:t xml:space="preserve"> בדבר השיחה שקיים עם </w:t>
      </w:r>
      <w:r w:rsidR="0014143A">
        <w:rPr>
          <w:rFonts w:ascii="David" w:hAnsi="David" w:cs="David"/>
          <w:sz w:val="24"/>
          <w:szCs w:val="24"/>
          <w:rtl/>
        </w:rPr>
        <w:t>הרב א'</w:t>
      </w:r>
      <w:r>
        <w:rPr>
          <w:rFonts w:ascii="David" w:hAnsi="David" w:cs="David"/>
          <w:sz w:val="24"/>
          <w:szCs w:val="24"/>
          <w:rtl/>
        </w:rPr>
        <w:t xml:space="preserve"> ו</w:t>
      </w:r>
      <w:r w:rsidR="0014143A">
        <w:rPr>
          <w:rFonts w:ascii="David" w:hAnsi="David" w:cs="David"/>
          <w:sz w:val="24"/>
          <w:szCs w:val="24"/>
          <w:rtl/>
        </w:rPr>
        <w:t>הרב ר'</w:t>
      </w:r>
      <w:r>
        <w:rPr>
          <w:rFonts w:ascii="David" w:hAnsi="David" w:cs="David"/>
          <w:sz w:val="24"/>
          <w:szCs w:val="24"/>
          <w:rtl/>
        </w:rPr>
        <w:t xml:space="preserve"> שחששו מאד מכך שביהמ"ש </w:t>
      </w:r>
      <w:r w:rsidR="00296577">
        <w:rPr>
          <w:rFonts w:ascii="David" w:hAnsi="David" w:cs="David" w:hint="cs"/>
          <w:sz w:val="24"/>
          <w:szCs w:val="24"/>
          <w:rtl/>
        </w:rPr>
        <w:t xml:space="preserve">בישראל </w:t>
      </w:r>
      <w:r>
        <w:rPr>
          <w:rFonts w:ascii="David" w:hAnsi="David" w:cs="David"/>
          <w:sz w:val="24"/>
          <w:szCs w:val="24"/>
          <w:rtl/>
        </w:rPr>
        <w:t>יקבע כי על הקטינים לשוב ל</w:t>
      </w:r>
      <w:r w:rsidR="00F8253F">
        <w:rPr>
          <w:rFonts w:ascii="David" w:hAnsi="David" w:cs="David"/>
          <w:sz w:val="24"/>
          <w:szCs w:val="24"/>
          <w:rtl/>
        </w:rPr>
        <w:t>...</w:t>
      </w:r>
      <w:r>
        <w:rPr>
          <w:rFonts w:ascii="David" w:hAnsi="David" w:cs="David"/>
          <w:sz w:val="24"/>
          <w:szCs w:val="24"/>
          <w:rtl/>
        </w:rPr>
        <w:t>, וזאת תוך שהדבר מבסס הסכמה מוקדמת להמשך מגורים של הקטינים בישראל</w:t>
      </w:r>
      <w:r w:rsidR="00296577">
        <w:rPr>
          <w:rFonts w:ascii="David" w:hAnsi="David" w:cs="David" w:hint="cs"/>
          <w:sz w:val="24"/>
          <w:szCs w:val="24"/>
          <w:rtl/>
        </w:rPr>
        <w:t xml:space="preserve"> וכן מלמד על כך שההליך נועד לשרת מניעים הזרים לאמנה</w:t>
      </w:r>
      <w:r>
        <w:rPr>
          <w:rFonts w:ascii="David" w:hAnsi="David" w:cs="David"/>
          <w:sz w:val="24"/>
          <w:szCs w:val="24"/>
          <w:rtl/>
        </w:rPr>
        <w:t>.</w:t>
      </w:r>
    </w:p>
    <w:p w:rsidR="00BA00D6" w:rsidRDefault="00BA00D6" w:rsidP="009863FF">
      <w:pPr>
        <w:spacing w:line="360" w:lineRule="auto"/>
        <w:jc w:val="both"/>
        <w:rPr>
          <w:rFonts w:ascii="David" w:hAnsi="David"/>
          <w:b/>
          <w:bCs/>
          <w:u w:val="single"/>
          <w:rtl/>
        </w:rPr>
      </w:pPr>
    </w:p>
    <w:p w:rsidR="00AD7A83" w:rsidRDefault="00AD7A83" w:rsidP="009863FF">
      <w:pPr>
        <w:spacing w:line="360" w:lineRule="auto"/>
        <w:jc w:val="both"/>
        <w:rPr>
          <w:rFonts w:ascii="David" w:hAnsi="David"/>
          <w:b/>
          <w:bCs/>
          <w:u w:val="single"/>
          <w:rtl/>
        </w:rPr>
      </w:pPr>
      <w:r w:rsidRPr="00270931">
        <w:rPr>
          <w:rFonts w:ascii="David" w:hAnsi="David"/>
          <w:b/>
          <w:bCs/>
          <w:u w:val="single"/>
          <w:rtl/>
        </w:rPr>
        <w:t>דיון והכרעה:</w:t>
      </w:r>
    </w:p>
    <w:p w:rsidR="0008539F" w:rsidRPr="00270931" w:rsidRDefault="0008539F" w:rsidP="009863FF">
      <w:pPr>
        <w:spacing w:line="360" w:lineRule="auto"/>
        <w:jc w:val="both"/>
        <w:rPr>
          <w:rFonts w:ascii="David" w:hAnsi="David"/>
          <w:b/>
          <w:bCs/>
          <w:u w:val="single"/>
          <w:rtl/>
        </w:rPr>
      </w:pPr>
    </w:p>
    <w:p w:rsidR="00AD7A83" w:rsidRDefault="00AD7A83" w:rsidP="00270931">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בפתח פרק זה אע</w:t>
      </w:r>
      <w:r w:rsidR="00270931">
        <w:rPr>
          <w:rFonts w:ascii="David" w:hAnsi="David" w:cs="David"/>
          <w:sz w:val="24"/>
          <w:szCs w:val="24"/>
          <w:rtl/>
        </w:rPr>
        <w:t>יר, כי בדיון מיום 12.8.2024 ה</w:t>
      </w:r>
      <w:r w:rsidR="00270931">
        <w:rPr>
          <w:rFonts w:ascii="David" w:hAnsi="David" w:cs="David" w:hint="cs"/>
          <w:sz w:val="24"/>
          <w:szCs w:val="24"/>
          <w:rtl/>
        </w:rPr>
        <w:t>ציג</w:t>
      </w:r>
      <w:r>
        <w:rPr>
          <w:rFonts w:ascii="David" w:hAnsi="David" w:cs="David"/>
          <w:sz w:val="24"/>
          <w:szCs w:val="24"/>
          <w:rtl/>
        </w:rPr>
        <w:t xml:space="preserve"> ב"כ האב תמונה של המשפחה (</w:t>
      </w:r>
      <w:r w:rsidR="00270931">
        <w:rPr>
          <w:rFonts w:ascii="David" w:hAnsi="David" w:cs="David" w:hint="cs"/>
          <w:sz w:val="24"/>
          <w:szCs w:val="24"/>
          <w:rtl/>
        </w:rPr>
        <w:t xml:space="preserve">האב האם </w:t>
      </w:r>
      <w:r w:rsidR="00270931">
        <w:rPr>
          <w:rFonts w:ascii="David" w:hAnsi="David" w:cs="David"/>
          <w:sz w:val="24"/>
          <w:szCs w:val="24"/>
          <w:rtl/>
        </w:rPr>
        <w:t>וכל ילדיהם, כש</w:t>
      </w:r>
      <w:r w:rsidR="00270931">
        <w:rPr>
          <w:rFonts w:ascii="David" w:hAnsi="David" w:cs="David" w:hint="cs"/>
          <w:sz w:val="24"/>
          <w:szCs w:val="24"/>
          <w:rtl/>
        </w:rPr>
        <w:t>הם</w:t>
      </w:r>
      <w:r>
        <w:rPr>
          <w:rFonts w:ascii="David" w:hAnsi="David" w:cs="David"/>
          <w:sz w:val="24"/>
          <w:szCs w:val="24"/>
          <w:rtl/>
        </w:rPr>
        <w:t xml:space="preserve"> </w:t>
      </w:r>
      <w:r w:rsidR="00270931">
        <w:rPr>
          <w:rFonts w:ascii="David" w:hAnsi="David" w:cs="David" w:hint="cs"/>
          <w:sz w:val="24"/>
          <w:szCs w:val="24"/>
          <w:rtl/>
        </w:rPr>
        <w:t>מחייכים ו</w:t>
      </w:r>
      <w:r>
        <w:rPr>
          <w:rFonts w:ascii="David" w:hAnsi="David" w:cs="David"/>
          <w:sz w:val="24"/>
          <w:szCs w:val="24"/>
          <w:rtl/>
        </w:rPr>
        <w:t>לבושים בבגדי חג). תמונה זו אינה משה משולחני ומראשי, מאז ועד עתה, תוך שביהמ"ש שם ליבו למצוקת הקטינים, למשבר החריף במשפחה, לעובדת היותם של הקטינים רחוקים מאביהם, כאשר אין לביהמ"ש ספק כי הקטינים עצמם, היו מעדיפים שהוריהם ימשיכו להתגורר תחת קורת גג אחת ולא יתגרשו זה מזו. אלא שלא בכך עסקינן, שכן תהא הכרעת ביהמ"ש אשר תהא- לדאבון הלב, את הקרע במשפחה זו אין בידי ביהמ"ש לאחות.</w:t>
      </w: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ולגופו של עניין-</w:t>
      </w:r>
      <w:r>
        <w:rPr>
          <w:rFonts w:ascii="David" w:hAnsi="David" w:cs="David"/>
          <w:sz w:val="24"/>
          <w:szCs w:val="24"/>
          <w:rtl/>
        </w:rPr>
        <w:t xml:space="preserve"> חוק אמנת האג נועד להתמודד עם מצב של חטיפות ילדים ממדינה למדינה, כאשר הנחת המוצא היא</w:t>
      </w:r>
      <w:r w:rsidR="00270931">
        <w:rPr>
          <w:rFonts w:ascii="David" w:hAnsi="David" w:cs="David" w:hint="cs"/>
          <w:sz w:val="24"/>
          <w:szCs w:val="24"/>
          <w:rtl/>
        </w:rPr>
        <w:t>,</w:t>
      </w:r>
      <w:r>
        <w:rPr>
          <w:rFonts w:ascii="David" w:hAnsi="David" w:cs="David"/>
          <w:sz w:val="24"/>
          <w:szCs w:val="24"/>
          <w:rtl/>
        </w:rPr>
        <w:t xml:space="preserve"> שהעברת ילדים ממדינה למדינה על ידי אחד הה</w:t>
      </w:r>
      <w:r w:rsidR="00270931">
        <w:rPr>
          <w:rFonts w:ascii="David" w:hAnsi="David" w:cs="David"/>
          <w:sz w:val="24"/>
          <w:szCs w:val="24"/>
          <w:rtl/>
        </w:rPr>
        <w:t>ורים טומנת בחובה סכנות רבות</w:t>
      </w:r>
      <w:r w:rsidR="00270931">
        <w:rPr>
          <w:rFonts w:ascii="David" w:hAnsi="David" w:cs="David" w:hint="cs"/>
          <w:sz w:val="24"/>
          <w:szCs w:val="24"/>
          <w:rtl/>
        </w:rPr>
        <w:t xml:space="preserve">. </w:t>
      </w:r>
      <w:r>
        <w:rPr>
          <w:rFonts w:ascii="David" w:hAnsi="David" w:cs="David"/>
          <w:sz w:val="24"/>
          <w:szCs w:val="24"/>
          <w:rtl/>
        </w:rPr>
        <w:t xml:space="preserve">לא פחות חושב מכך, העברת ילד ממדינה למדינה, ללא הסכמת ההורה האחר, מנוגדת אף </w:t>
      </w:r>
      <w:r>
        <w:rPr>
          <w:rFonts w:ascii="David" w:hAnsi="David" w:cs="David"/>
          <w:b/>
          <w:bCs/>
          <w:sz w:val="24"/>
          <w:szCs w:val="24"/>
          <w:rtl/>
        </w:rPr>
        <w:t>לחוק הכשרות המשפטית והאפוטרופסות</w:t>
      </w:r>
      <w:r>
        <w:rPr>
          <w:rFonts w:ascii="David" w:hAnsi="David" w:cs="David"/>
          <w:sz w:val="24"/>
          <w:szCs w:val="24"/>
          <w:rtl/>
        </w:rPr>
        <w:t xml:space="preserve">, תשכ"ב-1962, הקובע כי שני ההורים הם אפוטרופוסים על ילדיהם, והאפוטרופסות כוללת גם את הזכות והחובה להכריע בשאלת מקום מגוריו של הקטין (ראו ספרם של ש' מורן, א' עמירן, ה' בר, </w:t>
      </w:r>
      <w:r>
        <w:rPr>
          <w:rFonts w:ascii="David" w:hAnsi="David" w:cs="David"/>
          <w:b/>
          <w:bCs/>
          <w:sz w:val="24"/>
          <w:szCs w:val="24"/>
          <w:rtl/>
        </w:rPr>
        <w:t>הגירה וחטיפות ילדים – היבטים משפטיים ופסיכולוגיים</w:t>
      </w:r>
      <w:r>
        <w:rPr>
          <w:rFonts w:ascii="David" w:hAnsi="David" w:cs="David"/>
          <w:sz w:val="24"/>
          <w:szCs w:val="24"/>
          <w:rtl/>
        </w:rPr>
        <w:t xml:space="preserve">, עמ' 26 (2003)).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אמנת האג נועדה להבטיח חזרה מידית של ילדים שהורחקו שלא כדין ממדינתם, תוך מתן סעד מהיר ויעיל להחזרת הילד החטוף למדינה ממנה נחטף, כאשר שאלות האחריות ההורית (המוגדרת גם כזכות המשמורת), החזקת הקטינים וחלוקת זמני השהות שלהם בין הוריהם, תתבררנה בבית המשפט המוסמך באותה מדינה. ההנחה הרווחת היא כי טובת הקטין מחייבת, שלא יוברח על ידי אחד ההורים ומחייבת החזרתו למדינה ממנה נחטף.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אמנת האג מכירה בחריגים המעוגנים בסעיפים 12, 13 ו- 20 לאמנה, אשר בהתקיימם</w:t>
      </w:r>
      <w:r w:rsidR="00916532">
        <w:rPr>
          <w:rFonts w:ascii="David" w:hAnsi="David" w:cs="David" w:hint="cs"/>
          <w:sz w:val="24"/>
          <w:szCs w:val="24"/>
          <w:rtl/>
        </w:rPr>
        <w:t>,</w:t>
      </w:r>
      <w:r>
        <w:rPr>
          <w:rFonts w:ascii="David" w:hAnsi="David" w:cs="David"/>
          <w:sz w:val="24"/>
          <w:szCs w:val="24"/>
          <w:rtl/>
        </w:rPr>
        <w:t xml:space="preserve"> נתון לבית המשפט שיקול הדעת האם להורות על החזרת הקטין למקום מגוריו.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לחריגים אלו ניתנה פרשנות מצמצמת בפסיקה, תוך קביעה כי השימוש בהם ייעשה במקרים נדירים וקיצוניים בלבד, מהחשש שהאמנה תרוקן מתוכנה ושלא יהפוך החריג לכלל [ראו: ע"א 7206/93 </w:t>
      </w:r>
      <w:r>
        <w:rPr>
          <w:rFonts w:ascii="David" w:hAnsi="David" w:cs="David"/>
          <w:b/>
          <w:bCs/>
          <w:sz w:val="24"/>
          <w:szCs w:val="24"/>
          <w:rtl/>
        </w:rPr>
        <w:t>גבאי נ' גבאי</w:t>
      </w:r>
      <w:r>
        <w:rPr>
          <w:rFonts w:ascii="David" w:hAnsi="David" w:cs="David"/>
          <w:sz w:val="24"/>
          <w:szCs w:val="24"/>
          <w:rtl/>
        </w:rPr>
        <w:t xml:space="preserve"> פ"ד נא(2) (להלן: "</w:t>
      </w:r>
      <w:r>
        <w:rPr>
          <w:rFonts w:ascii="David" w:hAnsi="David" w:cs="David"/>
          <w:b/>
          <w:bCs/>
          <w:sz w:val="24"/>
          <w:szCs w:val="24"/>
          <w:rtl/>
        </w:rPr>
        <w:t>עניין גבאי</w:t>
      </w:r>
      <w:r>
        <w:rPr>
          <w:rFonts w:ascii="David" w:hAnsi="David" w:cs="David"/>
          <w:sz w:val="24"/>
          <w:szCs w:val="24"/>
          <w:rtl/>
        </w:rPr>
        <w:t xml:space="preserve">"); בע"מ 1855/08 </w:t>
      </w:r>
      <w:r>
        <w:rPr>
          <w:rFonts w:ascii="David" w:hAnsi="David" w:cs="David"/>
          <w:b/>
          <w:bCs/>
          <w:sz w:val="24"/>
          <w:szCs w:val="24"/>
          <w:rtl/>
        </w:rPr>
        <w:t>פלונית נ' פלוני</w:t>
      </w:r>
      <w:r>
        <w:rPr>
          <w:rFonts w:ascii="David" w:hAnsi="David" w:cs="David"/>
          <w:sz w:val="24"/>
          <w:szCs w:val="24"/>
          <w:rtl/>
        </w:rPr>
        <w:t xml:space="preserve"> (מאגרים משפטיים, 8.4.2008)].</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נטל ההוכחה להתקיימות החריגים רובץ על ההורה החוטף והטוען להתקיימות החריגים [ראו: בע"מ 2338/09 </w:t>
      </w:r>
      <w:r>
        <w:rPr>
          <w:rFonts w:ascii="David" w:hAnsi="David" w:cs="David"/>
          <w:b/>
          <w:bCs/>
          <w:sz w:val="24"/>
          <w:szCs w:val="24"/>
          <w:rtl/>
        </w:rPr>
        <w:t>פלונית נ' פלוני</w:t>
      </w:r>
      <w:r>
        <w:rPr>
          <w:rFonts w:ascii="David" w:hAnsi="David" w:cs="David"/>
          <w:sz w:val="24"/>
          <w:szCs w:val="24"/>
          <w:rtl/>
        </w:rPr>
        <w:t xml:space="preserve">, 2009 (מאגרים משפטיים)].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סעיף 3 לאמנה קובע: </w:t>
      </w:r>
    </w:p>
    <w:p w:rsidR="00AD7A83" w:rsidRDefault="00AD7A83" w:rsidP="009863FF">
      <w:pPr>
        <w:pStyle w:val="P11"/>
        <w:spacing w:before="0" w:line="360" w:lineRule="auto"/>
        <w:ind w:left="624" w:right="1134"/>
        <w:rPr>
          <w:rStyle w:val="default"/>
          <w:rFonts w:ascii="David" w:hAnsi="David" w:cs="David"/>
          <w:b/>
          <w:bCs/>
          <w:i/>
          <w:iCs/>
          <w:sz w:val="24"/>
          <w:szCs w:val="24"/>
          <w:rtl/>
        </w:rPr>
      </w:pPr>
      <w:r>
        <w:rPr>
          <w:rStyle w:val="default"/>
          <w:rFonts w:ascii="David" w:hAnsi="David" w:cs="David"/>
          <w:b/>
          <w:bCs/>
          <w:i/>
          <w:iCs/>
          <w:sz w:val="24"/>
          <w:szCs w:val="24"/>
          <w:rtl/>
        </w:rPr>
        <w:t>הרחקתו או אי החזרתו של ילד תיחשב לא כדין כאשר –</w:t>
      </w:r>
    </w:p>
    <w:p w:rsidR="00AD7A83" w:rsidRDefault="00AD7A83" w:rsidP="009863FF">
      <w:pPr>
        <w:pStyle w:val="P01"/>
        <w:spacing w:before="0" w:line="360" w:lineRule="auto"/>
        <w:ind w:left="1020" w:right="1134" w:hanging="1020"/>
        <w:rPr>
          <w:rStyle w:val="default"/>
          <w:rFonts w:ascii="David" w:hAnsi="David" w:cs="David"/>
          <w:b/>
          <w:bCs/>
          <w:i/>
          <w:iCs/>
          <w:sz w:val="24"/>
          <w:szCs w:val="24"/>
          <w:rtl/>
        </w:rPr>
      </w:pPr>
      <w:r>
        <w:rPr>
          <w:rFonts w:ascii="David" w:hAnsi="David" w:cs="David"/>
          <w:b/>
          <w:bCs/>
          <w:i/>
          <w:iCs/>
          <w:sz w:val="24"/>
          <w:szCs w:val="24"/>
          <w:rtl/>
        </w:rPr>
        <w:tab/>
        <w:t>(א)</w:t>
      </w:r>
      <w:r>
        <w:rPr>
          <w:rFonts w:ascii="David" w:hAnsi="David" w:cs="David"/>
          <w:b/>
          <w:bCs/>
          <w:i/>
          <w:iCs/>
          <w:sz w:val="24"/>
          <w:szCs w:val="24"/>
          <w:rtl/>
        </w:rPr>
        <w:tab/>
      </w:r>
      <w:r>
        <w:rPr>
          <w:rStyle w:val="default"/>
          <w:rFonts w:ascii="David" w:hAnsi="David" w:cs="David"/>
          <w:b/>
          <w:bCs/>
          <w:i/>
          <w:iCs/>
          <w:sz w:val="24"/>
          <w:szCs w:val="24"/>
          <w:rtl/>
        </w:rPr>
        <w:t>יש בהן הפרת זכויות המשמורת... על פי דין המדינה שבה היה מקום מגוריו הרגיל של הקטין סמוך לפני הרחקתו או אי החזרתו, וכן</w:t>
      </w:r>
    </w:p>
    <w:p w:rsidR="00AD7A83" w:rsidRPr="0076156C" w:rsidRDefault="00AD7A83" w:rsidP="009863FF">
      <w:pPr>
        <w:pStyle w:val="P01"/>
        <w:spacing w:before="0" w:line="360" w:lineRule="auto"/>
        <w:ind w:left="1020" w:right="1134" w:hanging="1020"/>
        <w:rPr>
          <w:rStyle w:val="default"/>
          <w:rFonts w:ascii="David" w:hAnsi="David" w:cs="David"/>
          <w:b/>
          <w:bCs/>
          <w:i/>
          <w:iCs/>
          <w:sz w:val="22"/>
          <w:szCs w:val="22"/>
          <w:rtl/>
        </w:rPr>
      </w:pPr>
    </w:p>
    <w:p w:rsidR="00AD7A83" w:rsidRDefault="00AD7A83" w:rsidP="009863FF">
      <w:pPr>
        <w:pStyle w:val="P01"/>
        <w:spacing w:before="0" w:line="360" w:lineRule="auto"/>
        <w:ind w:left="1020" w:right="1134" w:hanging="1020"/>
        <w:rPr>
          <w:rStyle w:val="default"/>
          <w:rFonts w:ascii="David" w:hAnsi="David" w:cs="David"/>
          <w:b/>
          <w:bCs/>
          <w:i/>
          <w:iCs/>
          <w:sz w:val="24"/>
          <w:szCs w:val="24"/>
          <w:rtl/>
        </w:rPr>
      </w:pPr>
      <w:r>
        <w:rPr>
          <w:rFonts w:ascii="David" w:hAnsi="David" w:cs="David"/>
          <w:b/>
          <w:bCs/>
          <w:i/>
          <w:iCs/>
          <w:sz w:val="24"/>
          <w:szCs w:val="24"/>
          <w:rtl/>
        </w:rPr>
        <w:tab/>
        <w:t>(ב)</w:t>
      </w:r>
      <w:r>
        <w:rPr>
          <w:rFonts w:ascii="David" w:hAnsi="David" w:cs="David"/>
          <w:b/>
          <w:bCs/>
          <w:i/>
          <w:iCs/>
          <w:sz w:val="24"/>
          <w:szCs w:val="24"/>
          <w:rtl/>
        </w:rPr>
        <w:tab/>
      </w:r>
      <w:r>
        <w:rPr>
          <w:rStyle w:val="default"/>
          <w:rFonts w:ascii="David" w:hAnsi="David" w:cs="David"/>
          <w:b/>
          <w:bCs/>
          <w:i/>
          <w:iCs/>
          <w:sz w:val="24"/>
          <w:szCs w:val="24"/>
          <w:rtl/>
        </w:rPr>
        <w:t xml:space="preserve">בעת ההרחקה או אי ההחזרה הופעלו אותן זכויות בפועל, בין במאוחד ובין בנפרד, או שהיו מופעלות כך אלמלא ההרחקה או </w:t>
      </w:r>
      <w:r>
        <w:rPr>
          <w:rStyle w:val="default"/>
          <w:rFonts w:ascii="David" w:hAnsi="David" w:cs="David"/>
          <w:b/>
          <w:bCs/>
          <w:i/>
          <w:iCs/>
          <w:sz w:val="24"/>
          <w:szCs w:val="24"/>
          <w:rtl/>
        </w:rPr>
        <w:lastRenderedPageBreak/>
        <w:t>אי ההחזרה.</w:t>
      </w:r>
    </w:p>
    <w:p w:rsidR="00AD7A83" w:rsidRPr="0076156C" w:rsidRDefault="00AD7A83" w:rsidP="009863FF">
      <w:pPr>
        <w:pStyle w:val="P00"/>
        <w:spacing w:before="0" w:line="360" w:lineRule="auto"/>
        <w:ind w:left="1020" w:right="1134"/>
        <w:rPr>
          <w:sz w:val="18"/>
          <w:szCs w:val="24"/>
          <w:rtl/>
        </w:rPr>
      </w:pPr>
      <w:r>
        <w:rPr>
          <w:rFonts w:ascii="David" w:hAnsi="David" w:cs="David"/>
          <w:b/>
          <w:bCs/>
          <w:i/>
          <w:iCs/>
          <w:sz w:val="24"/>
          <w:szCs w:val="24"/>
          <w:rtl/>
        </w:rPr>
        <w:tab/>
      </w:r>
    </w:p>
    <w:p w:rsidR="00AD7A83" w:rsidRPr="0076156C" w:rsidRDefault="00AD7A83" w:rsidP="0076156C">
      <w:pPr>
        <w:pStyle w:val="P00"/>
        <w:spacing w:before="0" w:line="360" w:lineRule="auto"/>
        <w:ind w:left="1020" w:right="1134"/>
        <w:rPr>
          <w:rFonts w:ascii="David" w:hAnsi="David" w:cs="David"/>
          <w:sz w:val="24"/>
          <w:szCs w:val="24"/>
          <w:rtl/>
        </w:rPr>
      </w:pPr>
      <w:r>
        <w:rPr>
          <w:rStyle w:val="default"/>
          <w:rFonts w:ascii="David" w:hAnsi="David" w:cs="David"/>
          <w:b/>
          <w:bCs/>
          <w:i/>
          <w:iCs/>
          <w:sz w:val="24"/>
          <w:szCs w:val="24"/>
          <w:rtl/>
        </w:rPr>
        <w:t>זכויות המשמורת הנזכרות בסעיף קטן (א) יכול שינבעו במיוחד מכוח דין, החלטה שיפוטית או מינהלית או הסכם בעל תוקף משפטי על פי דין אותה מדינה.</w:t>
      </w: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כפי עולה מהוראות הסעיף, תנאי מקדמי לתחולת כלל ההחזרה, הוא הפרת זכויות משמורת לפי הדין במקום מגוריו הרגיל של הקטין. </w:t>
      </w:r>
    </w:p>
    <w:p w:rsidR="00AD7A83" w:rsidRPr="0076156C"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במקרה שלפני, מתעוררות שתי שאלות. הראשונה היא האם ביצעה הנתבעת מעשה של אי החזרה שלא כדין, כמוגדר בסעיף 3 לאמנה, בכך של</w:t>
      </w:r>
      <w:r w:rsidR="00F104C6">
        <w:rPr>
          <w:rFonts w:ascii="David" w:hAnsi="David" w:cs="David"/>
          <w:sz w:val="24"/>
          <w:szCs w:val="24"/>
          <w:rtl/>
        </w:rPr>
        <w:t>א החזירה את הקטינים ל</w:t>
      </w:r>
      <w:r w:rsidR="00F104C6">
        <w:rPr>
          <w:rFonts w:ascii="David" w:hAnsi="David" w:cs="David" w:hint="cs"/>
          <w:sz w:val="24"/>
          <w:szCs w:val="24"/>
          <w:rtl/>
        </w:rPr>
        <w:t>...</w:t>
      </w:r>
      <w:r>
        <w:rPr>
          <w:rFonts w:ascii="David" w:hAnsi="David" w:cs="David"/>
          <w:sz w:val="24"/>
          <w:szCs w:val="24"/>
          <w:rtl/>
        </w:rPr>
        <w:t xml:space="preserve"> במועד המתוכנן. באם התשובה חיובית, עולה השאלה השנייה - האם ניתן להסיק מנסיבות המקרה כי חל אחד החריגים לחובת ההחזרה המיידית הקבועה באמנה.</w:t>
      </w:r>
    </w:p>
    <w:p w:rsidR="00AD7A83" w:rsidRDefault="00AD7A83" w:rsidP="009863FF">
      <w:pPr>
        <w:pStyle w:val="ad"/>
        <w:spacing w:after="0" w:line="360" w:lineRule="auto"/>
        <w:jc w:val="both"/>
        <w:rPr>
          <w:rFonts w:ascii="David" w:hAnsi="David" w:cs="David"/>
          <w:sz w:val="24"/>
          <w:szCs w:val="24"/>
        </w:rPr>
      </w:pPr>
    </w:p>
    <w:p w:rsidR="00AD7A83" w:rsidRPr="00916532" w:rsidRDefault="00AD7A83" w:rsidP="0091653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יש להבחין בין שני סוגי "חטיפה" החוסים תחת סעיף 3 לאמנה. האחד הינו מעשה של "חטיפה אקטיבית", קרי הרחקה ממקום המגורים הרגיל של הקטין, אל מדינה אחרת והשני </w:t>
      </w:r>
      <w:r w:rsidR="00916532">
        <w:rPr>
          <w:rFonts w:ascii="David" w:hAnsi="David" w:cs="David" w:hint="cs"/>
          <w:sz w:val="24"/>
          <w:szCs w:val="24"/>
          <w:rtl/>
        </w:rPr>
        <w:t xml:space="preserve">(כפי ענייננו) </w:t>
      </w:r>
      <w:r w:rsidRPr="00916532">
        <w:rPr>
          <w:rFonts w:ascii="David" w:hAnsi="David" w:cs="David"/>
          <w:sz w:val="24"/>
          <w:szCs w:val="24"/>
          <w:rtl/>
        </w:rPr>
        <w:t xml:space="preserve">הינו מעשה "חטיפה במחדל", קרי אי-החזרת הקטין ממדינה מתקשרת אל מדינת מגוריו הרגילים של הקטין (ראו: בע"מ 9802/09 </w:t>
      </w:r>
      <w:r w:rsidRPr="00916532">
        <w:rPr>
          <w:rFonts w:ascii="David" w:hAnsi="David" w:cs="David"/>
          <w:b/>
          <w:bCs/>
          <w:sz w:val="24"/>
          <w:szCs w:val="24"/>
          <w:rtl/>
        </w:rPr>
        <w:t>פלונית נ' פלוני</w:t>
      </w:r>
      <w:r w:rsidRPr="00916532">
        <w:rPr>
          <w:rFonts w:ascii="David" w:hAnsi="David" w:cs="David"/>
          <w:sz w:val="24"/>
          <w:szCs w:val="24"/>
          <w:rtl/>
        </w:rPr>
        <w:t xml:space="preserve"> [(מאגרים משפטיים, 17.12.09) להלן: "</w:t>
      </w:r>
      <w:r w:rsidRPr="00916532">
        <w:rPr>
          <w:rFonts w:ascii="David" w:hAnsi="David" w:cs="David"/>
          <w:b/>
          <w:bCs/>
          <w:sz w:val="24"/>
          <w:szCs w:val="24"/>
          <w:rtl/>
        </w:rPr>
        <w:t>פרשת פלונית</w:t>
      </w:r>
      <w:r w:rsidRPr="00916532">
        <w:rPr>
          <w:rFonts w:ascii="David" w:hAnsi="David" w:cs="David"/>
          <w:sz w:val="24"/>
          <w:szCs w:val="24"/>
          <w:rtl/>
        </w:rPr>
        <w:t>"].</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בענייננו, אין מחלוקת כי מקום מגוריהם הרגיל של הקטינים הינו ב</w:t>
      </w:r>
      <w:r w:rsidR="00F8253F">
        <w:rPr>
          <w:rFonts w:ascii="David" w:hAnsi="David" w:cs="David"/>
          <w:sz w:val="24"/>
          <w:szCs w:val="24"/>
          <w:rtl/>
        </w:rPr>
        <w:t>...</w:t>
      </w:r>
      <w:r>
        <w:rPr>
          <w:rFonts w:ascii="David" w:hAnsi="David" w:cs="David"/>
          <w:sz w:val="24"/>
          <w:szCs w:val="24"/>
          <w:rtl/>
        </w:rPr>
        <w:t xml:space="preserve">, שכן מקום המגורים מבטא מציאות חיים נמשכת, נקודת המבט היא של הקטין והמקום בו הוא מתגורר, תוך שנבחנים חיי היום-יום בעבר ולא בתוכניות העתיד (ראו: עניין גבאי) ואף לא נטען אחרת.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חלק מהקטינים נולדו אמנם בישראל, אך כולם גדלו והתגוררו בשנים האחרונות ב</w:t>
      </w:r>
      <w:r w:rsidR="00F8253F">
        <w:rPr>
          <w:rFonts w:ascii="David" w:hAnsi="David" w:cs="David"/>
          <w:sz w:val="24"/>
          <w:szCs w:val="24"/>
          <w:rtl/>
        </w:rPr>
        <w:t>...</w:t>
      </w:r>
      <w:r>
        <w:rPr>
          <w:rFonts w:ascii="David" w:hAnsi="David" w:cs="David"/>
          <w:sz w:val="24"/>
          <w:szCs w:val="24"/>
          <w:rtl/>
        </w:rPr>
        <w:t xml:space="preserve"> וזאת</w:t>
      </w:r>
      <w:r w:rsidR="00916532">
        <w:rPr>
          <w:rFonts w:ascii="David" w:hAnsi="David" w:cs="David" w:hint="cs"/>
          <w:sz w:val="24"/>
          <w:szCs w:val="24"/>
          <w:rtl/>
        </w:rPr>
        <w:t xml:space="preserve"> משנת 2016 לערך</w:t>
      </w:r>
      <w:r>
        <w:rPr>
          <w:rFonts w:ascii="David" w:hAnsi="David" w:cs="David"/>
          <w:sz w:val="24"/>
          <w:szCs w:val="24"/>
          <w:rtl/>
        </w:rPr>
        <w:t xml:space="preserve"> </w:t>
      </w:r>
      <w:r w:rsidR="00916532">
        <w:rPr>
          <w:rFonts w:ascii="David" w:hAnsi="David" w:cs="David" w:hint="cs"/>
          <w:sz w:val="24"/>
          <w:szCs w:val="24"/>
          <w:rtl/>
        </w:rPr>
        <w:t>ו</w:t>
      </w:r>
      <w:r>
        <w:rPr>
          <w:rFonts w:ascii="David" w:hAnsi="David" w:cs="David"/>
          <w:sz w:val="24"/>
          <w:szCs w:val="24"/>
          <w:rtl/>
        </w:rPr>
        <w:t>עד למועד ההרחקה.</w:t>
      </w:r>
    </w:p>
    <w:p w:rsidR="00AD7A83" w:rsidRDefault="00AD7A83" w:rsidP="009863FF">
      <w:pPr>
        <w:pStyle w:val="ad"/>
        <w:spacing w:after="0" w:line="360" w:lineRule="auto"/>
        <w:jc w:val="both"/>
        <w:rPr>
          <w:rFonts w:ascii="David" w:hAnsi="David" w:cs="David"/>
          <w:sz w:val="24"/>
          <w:szCs w:val="24"/>
        </w:rPr>
      </w:pPr>
    </w:p>
    <w:p w:rsidR="00AD7A83" w:rsidRDefault="00916532"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כך גם אין מחלוקת כי בעת אי</w:t>
      </w:r>
      <w:r>
        <w:rPr>
          <w:rFonts w:ascii="David" w:hAnsi="David" w:cs="David" w:hint="cs"/>
          <w:sz w:val="24"/>
          <w:szCs w:val="24"/>
          <w:rtl/>
        </w:rPr>
        <w:t>-</w:t>
      </w:r>
      <w:r w:rsidR="00AD7A83">
        <w:rPr>
          <w:rFonts w:ascii="David" w:hAnsi="David" w:cs="David"/>
          <w:sz w:val="24"/>
          <w:szCs w:val="24"/>
          <w:rtl/>
        </w:rPr>
        <w:t xml:space="preserve">החזרת הקטינים, המשמורת הייתה נתונה לשני ההורים במשותף, שכן עד למועד הנסיעה לישראל, התגוררו אלה תחת קורת גג אחת עם ילדיהם.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לפיכך, הימנעות האם מלהשיב הקטינים ל</w:t>
      </w:r>
      <w:r w:rsidR="00F8253F">
        <w:rPr>
          <w:rFonts w:ascii="David" w:hAnsi="David" w:cs="David"/>
          <w:sz w:val="24"/>
          <w:szCs w:val="24"/>
          <w:rtl/>
        </w:rPr>
        <w:t>...</w:t>
      </w:r>
      <w:r>
        <w:rPr>
          <w:rFonts w:ascii="David" w:hAnsi="David" w:cs="David"/>
          <w:sz w:val="24"/>
          <w:szCs w:val="24"/>
          <w:rtl/>
        </w:rPr>
        <w:t xml:space="preserve"> בתום הביקור בישראל, עולה כדי הפרת זכויות </w:t>
      </w:r>
      <w:r w:rsidR="00106FA5">
        <w:rPr>
          <w:rFonts w:ascii="David" w:hAnsi="David" w:cs="David" w:hint="cs"/>
          <w:sz w:val="24"/>
          <w:szCs w:val="24"/>
          <w:rtl/>
        </w:rPr>
        <w:t>ה</w:t>
      </w:r>
      <w:r>
        <w:rPr>
          <w:rFonts w:ascii="David" w:hAnsi="David" w:cs="David"/>
          <w:sz w:val="24"/>
          <w:szCs w:val="24"/>
          <w:rtl/>
        </w:rPr>
        <w:t>משמורת של האב.</w:t>
      </w:r>
    </w:p>
    <w:p w:rsidR="00AD7A83" w:rsidRDefault="00AD7A83" w:rsidP="009863FF">
      <w:pPr>
        <w:pStyle w:val="ad"/>
        <w:spacing w:after="0" w:line="360" w:lineRule="auto"/>
        <w:jc w:val="both"/>
        <w:rPr>
          <w:rFonts w:ascii="David" w:hAnsi="David" w:cs="David"/>
          <w:sz w:val="24"/>
          <w:szCs w:val="24"/>
        </w:rPr>
      </w:pPr>
      <w:r>
        <w:rPr>
          <w:rFonts w:ascii="David" w:hAnsi="David" w:cs="David"/>
          <w:sz w:val="24"/>
          <w:szCs w:val="24"/>
          <w:rtl/>
        </w:rPr>
        <w:t xml:space="preserve"> </w:t>
      </w: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על פי דין, אי קבלת הסכמת ההורה השני להוצאת הקטין לחו"ל או להשארתו במדינה שאינה מקום מגוריו הרגיל, ללא קבלת רשות בית המשפט, הופכת את ההוצאה של הילד ממקום מגוריו להרחקה שלא כדין [ראו: בש"א 1648/92 </w:t>
      </w:r>
      <w:r>
        <w:rPr>
          <w:rFonts w:ascii="David" w:hAnsi="David" w:cs="David"/>
          <w:b/>
          <w:bCs/>
          <w:sz w:val="24"/>
          <w:szCs w:val="24"/>
          <w:rtl/>
        </w:rPr>
        <w:t>טורנה נ' משולם</w:t>
      </w:r>
      <w:r>
        <w:rPr>
          <w:rFonts w:ascii="David" w:hAnsi="David" w:cs="David"/>
          <w:sz w:val="24"/>
          <w:szCs w:val="24"/>
          <w:rtl/>
        </w:rPr>
        <w:t>, פ"ד מו(3) 38 בעמ' 46-47 (1992)].</w:t>
      </w:r>
    </w:p>
    <w:p w:rsidR="00AD7A83" w:rsidRDefault="00AD7A83" w:rsidP="009863FF">
      <w:pPr>
        <w:spacing w:line="360" w:lineRule="auto"/>
        <w:ind w:left="1440"/>
        <w:jc w:val="both"/>
        <w:rPr>
          <w:rFonts w:ascii="David" w:hAnsi="David"/>
          <w:rtl/>
        </w:rPr>
      </w:pPr>
    </w:p>
    <w:p w:rsidR="00AD7A83" w:rsidRPr="0076156C" w:rsidRDefault="00AD7A83" w:rsidP="0076156C">
      <w:pPr>
        <w:spacing w:line="360" w:lineRule="auto"/>
        <w:ind w:left="1440"/>
        <w:jc w:val="both"/>
        <w:rPr>
          <w:rFonts w:ascii="David" w:hAnsi="David"/>
        </w:rPr>
      </w:pPr>
      <w:r>
        <w:rPr>
          <w:rFonts w:ascii="David" w:hAnsi="David"/>
          <w:rtl/>
        </w:rPr>
        <w:lastRenderedPageBreak/>
        <w:t>"</w:t>
      </w:r>
      <w:r>
        <w:rPr>
          <w:rFonts w:ascii="David" w:hAnsi="David"/>
          <w:i/>
          <w:iCs/>
          <w:rtl/>
        </w:rPr>
        <w:t>מדובר בהגדרה רחבה של זכויות משמורת. ודוק, די שנדרשת הסכמת ההורה על פי הדין הזר להוצאת הקטינים או אי החזרתם מארץ אחרת, והוא לא הסכים, כדי ללמד שקיימת זכות למשמורת אשר הופרה</w:t>
      </w:r>
      <w:r>
        <w:rPr>
          <w:rFonts w:ascii="David" w:hAnsi="David"/>
          <w:rtl/>
        </w:rPr>
        <w:t xml:space="preserve">" [ראו: ע"א 5271/92 </w:t>
      </w:r>
      <w:r>
        <w:rPr>
          <w:rFonts w:ascii="David" w:hAnsi="David"/>
          <w:b/>
          <w:bCs/>
          <w:rtl/>
        </w:rPr>
        <w:t>פוקסמן נ' פוקסמן</w:t>
      </w:r>
      <w:r>
        <w:rPr>
          <w:rFonts w:ascii="David" w:hAnsi="David"/>
          <w:rtl/>
        </w:rPr>
        <w:t xml:space="preserve"> (מאגרים משפטיים, 1992)].</w:t>
      </w: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בשעה שקבעתי כי בוצעה הרחקה שלא כדין, יש לבחון האם מתקיים אחד מהחריגים המנויים באמנה, המאפשרים השארת הקטינים בישראל. מטרת החריגים לחובת ההחזרה הינה איזון בין אינטרס הגשמת תכלית האמנה לבין הצורך לתת משקל מיוחד במצבים מתאימים לצרכיו של הילד ולהיבטים שונים הקש</w:t>
      </w:r>
      <w:r w:rsidR="00106FA5">
        <w:rPr>
          <w:rFonts w:ascii="David" w:hAnsi="David" w:cs="David"/>
          <w:sz w:val="24"/>
          <w:szCs w:val="24"/>
          <w:rtl/>
        </w:rPr>
        <w:t>ורים בטובתו</w:t>
      </w:r>
      <w:r w:rsidR="007E346A">
        <w:rPr>
          <w:rFonts w:ascii="David" w:hAnsi="David" w:cs="David" w:hint="cs"/>
          <w:sz w:val="24"/>
          <w:szCs w:val="24"/>
          <w:rtl/>
        </w:rPr>
        <w:t xml:space="preserve">. </w:t>
      </w:r>
      <w:r>
        <w:rPr>
          <w:rFonts w:ascii="David" w:hAnsi="David" w:cs="David"/>
          <w:sz w:val="24"/>
          <w:szCs w:val="24"/>
          <w:rtl/>
        </w:rPr>
        <w:t xml:space="preserve">ראו: לעניין זה דבריה של כב' השופטת פרוקצ'יה בבע"מ 672/06 </w:t>
      </w:r>
      <w:r>
        <w:rPr>
          <w:rFonts w:ascii="David" w:hAnsi="David" w:cs="David"/>
          <w:b/>
          <w:bCs/>
          <w:sz w:val="24"/>
          <w:szCs w:val="24"/>
          <w:rtl/>
        </w:rPr>
        <w:t>אבו עראר נ' רגוזו</w:t>
      </w:r>
      <w:r>
        <w:rPr>
          <w:rFonts w:ascii="David" w:hAnsi="David" w:cs="David"/>
          <w:sz w:val="24"/>
          <w:szCs w:val="24"/>
          <w:rtl/>
        </w:rPr>
        <w:t xml:space="preserve"> (2006, מאגרים משפטיים):</w:t>
      </w:r>
    </w:p>
    <w:p w:rsidR="00AD7A83" w:rsidRDefault="00AD7A83" w:rsidP="009863FF">
      <w:pPr>
        <w:pStyle w:val="ad"/>
        <w:spacing w:after="0" w:line="360" w:lineRule="auto"/>
        <w:jc w:val="both"/>
        <w:rPr>
          <w:rFonts w:ascii="David" w:hAnsi="David" w:cs="David"/>
          <w:sz w:val="24"/>
          <w:szCs w:val="24"/>
        </w:rPr>
      </w:pPr>
    </w:p>
    <w:p w:rsidR="00AD7A83" w:rsidRDefault="00AD7A83" w:rsidP="007E346A">
      <w:pPr>
        <w:pStyle w:val="ad"/>
        <w:spacing w:after="0" w:line="360" w:lineRule="auto"/>
        <w:ind w:left="1440"/>
        <w:jc w:val="both"/>
        <w:rPr>
          <w:rFonts w:ascii="David" w:hAnsi="David" w:cs="David"/>
          <w:sz w:val="24"/>
          <w:szCs w:val="24"/>
        </w:rPr>
      </w:pPr>
      <w:r>
        <w:rPr>
          <w:rFonts w:ascii="David" w:hAnsi="David" w:cs="David"/>
          <w:sz w:val="24"/>
          <w:szCs w:val="24"/>
          <w:rtl/>
        </w:rPr>
        <w:t>"</w:t>
      </w:r>
      <w:r>
        <w:rPr>
          <w:rFonts w:ascii="David" w:hAnsi="David" w:cs="David"/>
          <w:i/>
          <w:iCs/>
          <w:sz w:val="24"/>
          <w:szCs w:val="24"/>
          <w:rtl/>
        </w:rPr>
        <w:t>באיזון שבין שני הערכים הללו, יש לתת, דרך כלל, משקל מכריע לאינטרס שבהחזרת הילד למשמורת ההורה ממנו נחטף, שהוא גרעינה הקשה של האמנה שתכליתה העיקרית להגן על שלטון החוק ועל כיבוד רב צדדי של משפטיהן של אומות בנות תרבות. באינטרס זה טמונה גם ההנ</w:t>
      </w:r>
      <w:r w:rsidR="007E346A">
        <w:rPr>
          <w:rFonts w:ascii="David" w:hAnsi="David" w:cs="David"/>
          <w:i/>
          <w:iCs/>
          <w:sz w:val="24"/>
          <w:szCs w:val="24"/>
          <w:rtl/>
        </w:rPr>
        <w:t>חה כי החזרת הילד מקדמת את טובתו</w:t>
      </w:r>
      <w:r>
        <w:rPr>
          <w:rFonts w:ascii="David" w:hAnsi="David" w:cs="David"/>
          <w:i/>
          <w:iCs/>
          <w:sz w:val="24"/>
          <w:szCs w:val="24"/>
          <w:rtl/>
        </w:rPr>
        <w:t>.</w:t>
      </w:r>
      <w:r>
        <w:rPr>
          <w:rFonts w:ascii="David" w:hAnsi="David" w:cs="David"/>
          <w:sz w:val="24"/>
          <w:szCs w:val="24"/>
          <w:rtl/>
        </w:rPr>
        <w:t>"</w:t>
      </w:r>
    </w:p>
    <w:p w:rsidR="00AD7A83" w:rsidRPr="007E346A"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הנתבעת, מתקיימים במקרה דנן שני חריגים לחובת ההשבה: "הסכמה והשלמה" (יש לציין כי מלכתחילה טענה הנתבעת כי מתקיים גם החריג הקבוע בסעיף 13(ב) לאמנה ולפיו קיים חשש חמור שהחזרת הקטינים ל</w:t>
      </w:r>
      <w:r w:rsidR="00F8253F">
        <w:rPr>
          <w:rFonts w:ascii="David" w:hAnsi="David" w:cs="David"/>
          <w:sz w:val="24"/>
          <w:szCs w:val="24"/>
          <w:rtl/>
        </w:rPr>
        <w:t>...</w:t>
      </w:r>
      <w:r>
        <w:rPr>
          <w:rFonts w:ascii="David" w:hAnsi="David" w:cs="David"/>
          <w:sz w:val="24"/>
          <w:szCs w:val="24"/>
          <w:rtl/>
        </w:rPr>
        <w:t xml:space="preserve"> תחשוף אותם לנ</w:t>
      </w:r>
      <w:r w:rsidR="007E346A">
        <w:rPr>
          <w:rFonts w:ascii="David" w:hAnsi="David" w:cs="David"/>
          <w:sz w:val="24"/>
          <w:szCs w:val="24"/>
          <w:rtl/>
        </w:rPr>
        <w:t>זק פיזי או פסיכולוגי ותעמיד אות</w:t>
      </w:r>
      <w:r w:rsidR="007E346A">
        <w:rPr>
          <w:rFonts w:ascii="David" w:hAnsi="David" w:cs="David" w:hint="cs"/>
          <w:sz w:val="24"/>
          <w:szCs w:val="24"/>
          <w:rtl/>
        </w:rPr>
        <w:t>ם</w:t>
      </w:r>
      <w:r>
        <w:rPr>
          <w:rFonts w:ascii="David" w:hAnsi="David" w:cs="David"/>
          <w:sz w:val="24"/>
          <w:szCs w:val="24"/>
          <w:rtl/>
        </w:rPr>
        <w:t xml:space="preserve"> במעמד בלתי נסבל, אולם </w:t>
      </w:r>
      <w:r w:rsidR="007E346A">
        <w:rPr>
          <w:rFonts w:ascii="David" w:hAnsi="David" w:cs="David" w:hint="cs"/>
          <w:sz w:val="24"/>
          <w:szCs w:val="24"/>
          <w:rtl/>
        </w:rPr>
        <w:t xml:space="preserve">הנתבעת </w:t>
      </w:r>
      <w:r>
        <w:rPr>
          <w:rFonts w:ascii="David" w:hAnsi="David" w:cs="David"/>
          <w:sz w:val="24"/>
          <w:szCs w:val="24"/>
          <w:rtl/>
        </w:rPr>
        <w:t>לא עמדה על טענה זו, לנוכח מסקנות חוות הדעת מומחית ביהמ"ש).</w:t>
      </w:r>
    </w:p>
    <w:p w:rsidR="00AD7A83" w:rsidRDefault="00AD7A83" w:rsidP="009863FF">
      <w:pPr>
        <w:pStyle w:val="ad"/>
        <w:spacing w:after="0" w:line="360" w:lineRule="auto"/>
        <w:jc w:val="both"/>
        <w:rPr>
          <w:rFonts w:ascii="David" w:hAnsi="David" w:cs="David"/>
          <w:sz w:val="24"/>
          <w:szCs w:val="24"/>
        </w:rPr>
      </w:pPr>
    </w:p>
    <w:p w:rsidR="00AD7A83" w:rsidRDefault="00215FD1"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סעיף 13</w:t>
      </w:r>
      <w:r w:rsidR="00AD7A83">
        <w:rPr>
          <w:rFonts w:ascii="David" w:hAnsi="David" w:cs="David"/>
          <w:sz w:val="24"/>
          <w:szCs w:val="24"/>
          <w:rtl/>
        </w:rPr>
        <w:t xml:space="preserve">(א) לאמנה קובע: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spacing w:after="0" w:line="360" w:lineRule="auto"/>
        <w:ind w:left="1440"/>
        <w:jc w:val="both"/>
        <w:rPr>
          <w:rFonts w:ascii="David" w:hAnsi="David" w:cs="David"/>
          <w:sz w:val="24"/>
          <w:szCs w:val="24"/>
          <w:rtl/>
        </w:rPr>
      </w:pPr>
      <w:r>
        <w:rPr>
          <w:rFonts w:ascii="David" w:hAnsi="David" w:cs="David"/>
          <w:i/>
          <w:iCs/>
          <w:sz w:val="24"/>
          <w:szCs w:val="24"/>
          <w:rtl/>
        </w:rPr>
        <w:t xml:space="preserve">על אף האמור בסעיף הקודם, אין הרשות השיפוטית או המינהלית של המדינה המתבקשת חייבת להורות על החזרת הילד, אם הוכיחו... המתנגדים להחזרתו כי האדם... שבידיו מופקדת ההשגחה על גוף הילד לא הפעיל בפועל את זכויות המשמורת בעת ההרחקה או אי ההחזרה, או </w:t>
      </w:r>
      <w:r>
        <w:rPr>
          <w:rFonts w:ascii="David" w:hAnsi="David" w:cs="David"/>
          <w:b/>
          <w:bCs/>
          <w:i/>
          <w:iCs/>
          <w:sz w:val="24"/>
          <w:szCs w:val="24"/>
          <w:rtl/>
        </w:rPr>
        <w:t>הסכים</w:t>
      </w:r>
      <w:r>
        <w:rPr>
          <w:rFonts w:ascii="David" w:hAnsi="David" w:cs="David"/>
          <w:i/>
          <w:iCs/>
          <w:sz w:val="24"/>
          <w:szCs w:val="24"/>
          <w:rtl/>
        </w:rPr>
        <w:t xml:space="preserve"> </w:t>
      </w:r>
      <w:r>
        <w:rPr>
          <w:rFonts w:ascii="David" w:hAnsi="David" w:cs="David"/>
          <w:b/>
          <w:bCs/>
          <w:i/>
          <w:iCs/>
          <w:sz w:val="24"/>
          <w:szCs w:val="24"/>
          <w:rtl/>
        </w:rPr>
        <w:t>עמן או</w:t>
      </w:r>
      <w:r>
        <w:rPr>
          <w:rFonts w:ascii="David" w:hAnsi="David" w:cs="David"/>
          <w:i/>
          <w:iCs/>
          <w:sz w:val="24"/>
          <w:szCs w:val="24"/>
          <w:rtl/>
        </w:rPr>
        <w:t xml:space="preserve"> </w:t>
      </w:r>
      <w:r>
        <w:rPr>
          <w:rFonts w:ascii="David" w:hAnsi="David" w:cs="David"/>
          <w:b/>
          <w:bCs/>
          <w:i/>
          <w:iCs/>
          <w:sz w:val="24"/>
          <w:szCs w:val="24"/>
          <w:rtl/>
        </w:rPr>
        <w:t>השלים</w:t>
      </w:r>
      <w:r>
        <w:rPr>
          <w:rFonts w:ascii="David" w:hAnsi="David" w:cs="David"/>
          <w:i/>
          <w:iCs/>
          <w:sz w:val="24"/>
          <w:szCs w:val="24"/>
          <w:rtl/>
        </w:rPr>
        <w:t xml:space="preserve"> עמן לאחר מעשה</w:t>
      </w:r>
      <w:r>
        <w:rPr>
          <w:rFonts w:ascii="David" w:hAnsi="David" w:cs="David"/>
          <w:sz w:val="24"/>
          <w:szCs w:val="24"/>
          <w:rtl/>
        </w:rPr>
        <w:t xml:space="preserve"> (ההדגשה אינה במקור. א.מ.).</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פירושו של חריג ההשלמה הוא כי מכלול הנסיבות מלמדות על השלמת ההורה הנחטף עם מעשה החטיפה לאחר מעשה </w:t>
      </w:r>
      <w:r w:rsidR="007E346A">
        <w:rPr>
          <w:rFonts w:ascii="David" w:hAnsi="David" w:cs="David"/>
          <w:sz w:val="24"/>
          <w:szCs w:val="24"/>
          <w:rtl/>
        </w:rPr>
        <w:t>החטיפה ומעבר הקטינים לארץ אחרת</w:t>
      </w:r>
      <w:r w:rsidR="007E346A">
        <w:rPr>
          <w:rFonts w:ascii="David" w:hAnsi="David" w:cs="David" w:hint="cs"/>
          <w:sz w:val="24"/>
          <w:szCs w:val="24"/>
          <w:rtl/>
        </w:rPr>
        <w:t xml:space="preserve">. </w:t>
      </w:r>
      <w:r>
        <w:rPr>
          <w:rFonts w:ascii="David" w:hAnsi="David" w:cs="David"/>
          <w:sz w:val="24"/>
          <w:szCs w:val="24"/>
          <w:rtl/>
        </w:rPr>
        <w:t xml:space="preserve">ראו: דברי  כב' השופט הנדל בבע"מ 7784/12 </w:t>
      </w:r>
      <w:r w:rsidRPr="007E346A">
        <w:rPr>
          <w:rFonts w:ascii="David" w:hAnsi="David" w:cs="David"/>
          <w:b/>
          <w:bCs/>
          <w:sz w:val="24"/>
          <w:szCs w:val="24"/>
          <w:rtl/>
        </w:rPr>
        <w:t>פלונית נ' פלוני</w:t>
      </w:r>
      <w:r>
        <w:rPr>
          <w:rFonts w:ascii="David" w:hAnsi="David" w:cs="David"/>
          <w:sz w:val="24"/>
          <w:szCs w:val="24"/>
          <w:rtl/>
        </w:rPr>
        <w:t xml:space="preserve"> (מאגרים משפטיים):</w:t>
      </w:r>
    </w:p>
    <w:p w:rsidR="00BA00D6" w:rsidRDefault="00BA00D6" w:rsidP="00BA00D6">
      <w:pPr>
        <w:pStyle w:val="ad"/>
        <w:spacing w:after="0" w:line="360" w:lineRule="auto"/>
        <w:jc w:val="both"/>
        <w:rPr>
          <w:rFonts w:ascii="David" w:hAnsi="David" w:cs="David"/>
          <w:sz w:val="24"/>
          <w:szCs w:val="24"/>
        </w:rPr>
      </w:pPr>
    </w:p>
    <w:p w:rsidR="00AD7A83" w:rsidRDefault="00AD7A83" w:rsidP="009863FF">
      <w:pPr>
        <w:spacing w:line="360" w:lineRule="auto"/>
        <w:ind w:left="1440"/>
        <w:jc w:val="both"/>
        <w:rPr>
          <w:rFonts w:ascii="David" w:hAnsi="David"/>
          <w:rtl/>
        </w:rPr>
      </w:pPr>
      <w:r>
        <w:rPr>
          <w:rFonts w:ascii="David" w:hAnsi="David"/>
          <w:rtl/>
        </w:rPr>
        <w:t>"</w:t>
      </w:r>
      <w:r>
        <w:rPr>
          <w:rFonts w:ascii="David" w:hAnsi="David"/>
          <w:i/>
          <w:iCs/>
          <w:rtl/>
        </w:rPr>
        <w:t>לעניין הפרשנות שיש ליתן למונח "השלמה" נפסק כי השלמה תיתכן בין במעשה, בין במחדל. כן נאמר כי היא יכולה למצוא את ביטויה בהתנהגות חד פעמית – כגון בחתימה על הסכם עם ההורה "החוטף", אך יכולה להיות גם משתמעת ממכלול עובדתי מסוים על פני רצף התפתחותי של אירועים. חריג ההשלמה, כך נפסק, מבוסס על רצונו הסובייקטיבי של בעל הזכויות במשמורת, המוצא את ביטויו בהתנהגות חיצונית הנמדדת בכלים אובייקטיביים. הזרקור מופנה אם כן להורה המסויים, ולא להורה הסביר בבחינה עובדתית ולא נורמטיבית. ... במרכז הדיון ניצבת העמדה הסובייקטיבית של ההורה ממנו "נחטף" הילד</w:t>
      </w:r>
      <w:r>
        <w:rPr>
          <w:rFonts w:ascii="David" w:hAnsi="David"/>
          <w:rtl/>
        </w:rPr>
        <w:t>".</w:t>
      </w:r>
    </w:p>
    <w:p w:rsidR="00AD7A83" w:rsidRDefault="00AD7A83" w:rsidP="009863FF">
      <w:pPr>
        <w:pStyle w:val="ad"/>
        <w:spacing w:after="0" w:line="360" w:lineRule="auto"/>
        <w:jc w:val="both"/>
        <w:rPr>
          <w:rFonts w:ascii="David" w:hAnsi="David" w:cs="David"/>
          <w:sz w:val="24"/>
          <w:szCs w:val="24"/>
        </w:rPr>
      </w:pPr>
    </w:p>
    <w:p w:rsidR="00AD7A83" w:rsidRDefault="00AD7A83" w:rsidP="007E346A">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לעניין האופן בו מתגבש רכיב ההשלמה, קבע כב' השופט מ' אלון כב' השופט מ' אלון בע"א 473/93 </w:t>
      </w:r>
      <w:r>
        <w:rPr>
          <w:rFonts w:ascii="David" w:hAnsi="David" w:cs="David"/>
          <w:b/>
          <w:bCs/>
          <w:sz w:val="24"/>
          <w:szCs w:val="24"/>
          <w:rtl/>
        </w:rPr>
        <w:t>ליבוביץ נ' ליבוביץ</w:t>
      </w:r>
      <w:r>
        <w:rPr>
          <w:rFonts w:ascii="David" w:hAnsi="David" w:cs="David"/>
          <w:sz w:val="24"/>
          <w:szCs w:val="24"/>
          <w:rtl/>
        </w:rPr>
        <w:t xml:space="preserve">, פ"ד מז (3) (72) שככלל, הזמן שחלף ממועד החטיפה ועד למועד בו גילה דעתו ההורה הנחטף כי הוא מתנגד לה הוא משתנה משמעותי, אך </w:t>
      </w:r>
      <w:r w:rsidR="007E346A">
        <w:rPr>
          <w:rFonts w:ascii="David" w:hAnsi="David" w:cs="David" w:hint="cs"/>
          <w:sz w:val="24"/>
          <w:szCs w:val="24"/>
          <w:rtl/>
        </w:rPr>
        <w:t>אין זה</w:t>
      </w:r>
      <w:r>
        <w:rPr>
          <w:rFonts w:ascii="David" w:hAnsi="David" w:cs="David"/>
          <w:sz w:val="24"/>
          <w:szCs w:val="24"/>
          <w:rtl/>
        </w:rPr>
        <w:t xml:space="preserve"> </w:t>
      </w:r>
      <w:r w:rsidR="007E346A">
        <w:rPr>
          <w:rFonts w:ascii="David" w:hAnsi="David" w:cs="David" w:hint="cs"/>
          <w:sz w:val="24"/>
          <w:szCs w:val="24"/>
          <w:rtl/>
        </w:rPr>
        <w:t>ה</w:t>
      </w:r>
      <w:r>
        <w:rPr>
          <w:rFonts w:ascii="David" w:hAnsi="David" w:cs="David"/>
          <w:sz w:val="24"/>
          <w:szCs w:val="24"/>
          <w:rtl/>
        </w:rPr>
        <w:t>משתנה יחיד:</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spacing w:after="0" w:line="360" w:lineRule="auto"/>
        <w:ind w:left="1440"/>
        <w:jc w:val="both"/>
        <w:rPr>
          <w:rFonts w:ascii="David" w:hAnsi="David" w:cs="David"/>
          <w:sz w:val="24"/>
          <w:szCs w:val="24"/>
        </w:rPr>
      </w:pPr>
      <w:r>
        <w:rPr>
          <w:rFonts w:ascii="David" w:hAnsi="David" w:cs="David"/>
          <w:sz w:val="24"/>
          <w:szCs w:val="24"/>
          <w:rtl/>
        </w:rPr>
        <w:t>"</w:t>
      </w:r>
      <w:r>
        <w:rPr>
          <w:rFonts w:ascii="David" w:hAnsi="David" w:cs="David"/>
          <w:i/>
          <w:iCs/>
          <w:sz w:val="24"/>
          <w:szCs w:val="24"/>
          <w:rtl/>
        </w:rPr>
        <w:t xml:space="preserve">אם לא פעל ההורה כנגד מעשה ההרחקה במשך תקופה ניכרת שבה נמצא הילד במקום שונה ממקום מגוריו הרגיל, יובא חשבון אלמנט הזמן כאחת מכלל הנסיבות הנוגעות לעניין, כדי להסיק גם מכך שהתנהגותו של ההורה במשך התקופה הניכרת של ההרחקה אינה עולה בקנה אחד עם דרישתו </w:t>
      </w:r>
      <w:r>
        <w:rPr>
          <w:rFonts w:ascii="David" w:hAnsi="David" w:cs="David"/>
          <w:i/>
          <w:iCs/>
          <w:sz w:val="24"/>
          <w:szCs w:val="24"/>
          <w:u w:val="single"/>
          <w:rtl/>
        </w:rPr>
        <w:t>המאוחרת</w:t>
      </w:r>
      <w:r>
        <w:rPr>
          <w:rFonts w:ascii="David" w:hAnsi="David" w:cs="David"/>
          <w:i/>
          <w:iCs/>
          <w:sz w:val="24"/>
          <w:szCs w:val="24"/>
          <w:rtl/>
        </w:rPr>
        <w:t xml:space="preserve"> להחזרת הקטין. כללו של דבר, חשיבות משך הזמן שחלף מעת הרחקת הילד היא על-פי נסיבות כל עניין ועניין. הדבר הראוי להדגשה הוא, כי השאלה נבחנת על-פי </w:t>
      </w:r>
      <w:r>
        <w:rPr>
          <w:rFonts w:ascii="David" w:hAnsi="David" w:cs="David"/>
          <w:i/>
          <w:iCs/>
          <w:sz w:val="24"/>
          <w:szCs w:val="24"/>
          <w:u w:val="single"/>
          <w:rtl/>
        </w:rPr>
        <w:t>כל</w:t>
      </w:r>
      <w:r>
        <w:rPr>
          <w:rFonts w:ascii="David" w:hAnsi="David" w:cs="David"/>
          <w:i/>
          <w:iCs/>
          <w:sz w:val="24"/>
          <w:szCs w:val="24"/>
          <w:rtl/>
        </w:rPr>
        <w:t xml:space="preserve"> נסיבות העניין</w:t>
      </w:r>
      <w:r>
        <w:rPr>
          <w:rFonts w:ascii="David" w:hAnsi="David" w:cs="David"/>
          <w:sz w:val="24"/>
          <w:szCs w:val="24"/>
          <w:rtl/>
        </w:rPr>
        <w:t>" (ההדגשה במקור. א.מ.).</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לעניין חריג ההסכמה, נפסק כי אלמנט הזמן משמעותי פחות וייתכן כי יחלוף פרק זמן קצר או ארוך מרגע החטיפה ועד ליום הגשת התביעה, אך במרבית המקרים לא תהיה לכך נפקות, שהרי ההסכמה מעצם טיבה ניתנת מראש, לפני מעשה החטיפה. לפיכך, תחת חריג זה, השאלה המרכזית הינה מהן הנסיבות המלמדות על ההסכמה, ועד כמה מעידות הן באופן מפורש על הסכמת ההורה "הנחטף" כי ויתר על "העזרה הראשונה" הניתנת בחסות האמנה (מתוך דברי כב' השופטת ע' ארבל בבע"מ 741/11, המובא להלן).</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מהותם של החריגים, האמורים בסעיף 13(א) לאמנה, ע"פ המשנה לנשיא, כב' השופט מ' אלון בע"א 473/93 </w:t>
      </w:r>
      <w:r>
        <w:rPr>
          <w:rFonts w:ascii="David" w:hAnsi="David" w:cs="David"/>
          <w:b/>
          <w:bCs/>
          <w:sz w:val="24"/>
          <w:szCs w:val="24"/>
          <w:rtl/>
        </w:rPr>
        <w:t>ליבוביץ נ' ליבוביץ</w:t>
      </w:r>
      <w:r>
        <w:rPr>
          <w:rFonts w:ascii="David" w:hAnsi="David" w:cs="David"/>
          <w:sz w:val="24"/>
          <w:szCs w:val="24"/>
          <w:rtl/>
        </w:rPr>
        <w:t>, פ"ד מז (3) בעמ' 71-70:</w:t>
      </w:r>
    </w:p>
    <w:p w:rsidR="00AD7A83" w:rsidRDefault="00AD7A83" w:rsidP="009863FF">
      <w:pPr>
        <w:spacing w:line="360" w:lineRule="auto"/>
        <w:ind w:left="1440"/>
        <w:jc w:val="both"/>
        <w:rPr>
          <w:rFonts w:ascii="David" w:hAnsi="David"/>
          <w:rtl/>
        </w:rPr>
      </w:pPr>
    </w:p>
    <w:p w:rsidR="00AD7A83" w:rsidRDefault="00AD7A83" w:rsidP="009863FF">
      <w:pPr>
        <w:spacing w:line="360" w:lineRule="auto"/>
        <w:ind w:left="1440"/>
        <w:jc w:val="both"/>
        <w:rPr>
          <w:rFonts w:ascii="David" w:hAnsi="David"/>
          <w:rtl/>
        </w:rPr>
      </w:pPr>
      <w:r>
        <w:rPr>
          <w:rFonts w:ascii="David" w:hAnsi="David"/>
          <w:rtl/>
        </w:rPr>
        <w:t>"</w:t>
      </w:r>
      <w:r>
        <w:rPr>
          <w:rFonts w:ascii="David" w:hAnsi="David"/>
          <w:i/>
          <w:iCs/>
          <w:rtl/>
        </w:rPr>
        <w:t>ההנמקה לסייג זה היא, כי אם וכאשר ההורה,</w:t>
      </w:r>
      <w:r>
        <w:rPr>
          <w:rFonts w:ascii="David" w:hAnsi="David"/>
          <w:i/>
          <w:iCs/>
        </w:rPr>
        <w:t xml:space="preserve"> </w:t>
      </w:r>
      <w:r>
        <w:rPr>
          <w:rFonts w:ascii="David" w:hAnsi="David"/>
          <w:i/>
          <w:iCs/>
          <w:rtl/>
        </w:rPr>
        <w:t>שממשמורתו הורחק הקטין, הסכים למעשה ההרחקה או השלים עמו, שוב אין צורך ב'עזרה ראשונה' ובפעולה דחופה ומיידית של 'כיבוי דלקה'. משמצויות הסכמה או השלמה כאלה, ניתן להסיק מהן, שההורה שילדו הורחק ממקום מגוריו מעדיף לטפל בעניין בדרך שונה מהחזרה מיידית למקום המגורים הרגיל. העדפת דרך טיפול זו יכול שסיבתה תהא משום שהוא עצמו מבקש שלא לשוב ולטלטל את הקטין, או שנוח לו, מסיבות אלה או אחרות, לנהל את דיוני המשמורת וההליכים הכרוכים בכך דווקא במדינה שאליה הורחק הקטין, כגון כאשר מדינה זו היא מולדתו המקורית, או כאשר היא משמשת לו כבית שני נוסף על "מדינת ההרחקה", וכיוצא באלה נימוקים מנימוקים שונים</w:t>
      </w:r>
      <w:r>
        <w:rPr>
          <w:rFonts w:ascii="David" w:hAnsi="David"/>
          <w:b/>
          <w:bCs/>
          <w:i/>
          <w:iCs/>
          <w:rtl/>
        </w:rPr>
        <w:t>. הורה שהשלים עם מעשה</w:t>
      </w:r>
      <w:r>
        <w:rPr>
          <w:rFonts w:ascii="David" w:hAnsi="David"/>
          <w:i/>
          <w:iCs/>
          <w:rtl/>
        </w:rPr>
        <w:t xml:space="preserve"> </w:t>
      </w:r>
      <w:r>
        <w:rPr>
          <w:rFonts w:ascii="David" w:hAnsi="David"/>
          <w:b/>
          <w:bCs/>
          <w:i/>
          <w:iCs/>
          <w:rtl/>
        </w:rPr>
        <w:t>ההרחקה מבטא בכך שאין במציאות שנוצרה כתוצאה מהרחקת הקטין ממקום מגוריו הרגיל משום דחיפות ובהילות, המחייבות את הפעלת האמנה דווקא, לאלתר וללא דחייה</w:t>
      </w:r>
      <w:r>
        <w:rPr>
          <w:rFonts w:ascii="David" w:hAnsi="David"/>
          <w:i/>
          <w:iCs/>
          <w:rtl/>
        </w:rPr>
        <w:t>, וכי ניתן למצוא דרכים אלטרנטיביות לפתרון הסכסוך ביחס לזכויות המשמורת של הקטין במסגרת המציאות החדשה שנוצרה עם מעשה ההרחקה</w:t>
      </w:r>
      <w:r>
        <w:rPr>
          <w:rFonts w:ascii="David" w:hAnsi="David"/>
          <w:rtl/>
        </w:rPr>
        <w:t>"  (ההדגשות אינן במקור. א.מ.) [כך קבע גם כב' הנשיא ברק בפרשת גבאי  (שם, בעמ' 256)].</w:t>
      </w:r>
    </w:p>
    <w:p w:rsidR="00AD7A83" w:rsidRDefault="00AD7A83" w:rsidP="009863FF">
      <w:pPr>
        <w:spacing w:line="360" w:lineRule="auto"/>
        <w:jc w:val="both"/>
        <w:rPr>
          <w:rFonts w:ascii="David" w:hAnsi="David"/>
          <w:rtl/>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בפרשת גבאי, איבחן כב' הנשיא ברק בין חריג ההסכמה לחריג ההשלמה  (שם, בעמ' 257):</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spacing w:after="0" w:line="360" w:lineRule="auto"/>
        <w:ind w:left="1440"/>
        <w:jc w:val="both"/>
        <w:rPr>
          <w:rFonts w:ascii="David" w:hAnsi="David" w:cs="David"/>
          <w:sz w:val="24"/>
          <w:szCs w:val="24"/>
        </w:rPr>
      </w:pPr>
      <w:r>
        <w:rPr>
          <w:rFonts w:ascii="David" w:hAnsi="David" w:cs="David"/>
          <w:sz w:val="24"/>
          <w:szCs w:val="24"/>
          <w:rtl/>
        </w:rPr>
        <w:t>"</w:t>
      </w:r>
      <w:r w:rsidRPr="00F828C0">
        <w:rPr>
          <w:rFonts w:ascii="David" w:hAnsi="David" w:cs="David"/>
          <w:i/>
          <w:iCs/>
          <w:sz w:val="24"/>
          <w:szCs w:val="24"/>
          <w:rtl/>
        </w:rPr>
        <w:t xml:space="preserve">סעיף 13(א) לאמנת האג מבחין בין הסכמה להשלמה. </w:t>
      </w:r>
      <w:r w:rsidRPr="00F828C0">
        <w:rPr>
          <w:rFonts w:ascii="David" w:hAnsi="David" w:cs="David"/>
          <w:b/>
          <w:bCs/>
          <w:i/>
          <w:iCs/>
          <w:sz w:val="24"/>
          <w:szCs w:val="24"/>
          <w:rtl/>
        </w:rPr>
        <w:t>השוני בין שני אלה הוא במישור הזמן. הסכמה ניתנת מראש. השלמה נעשית בדיעבד.</w:t>
      </w:r>
      <w:r w:rsidRPr="00F828C0">
        <w:rPr>
          <w:rFonts w:ascii="David" w:hAnsi="David" w:cs="David"/>
          <w:i/>
          <w:iCs/>
          <w:sz w:val="24"/>
          <w:szCs w:val="24"/>
          <w:rtl/>
        </w:rPr>
        <w:t xml:space="preserve"> הסכמה והשלמה יכול שיהיו במעשה או במחדל. הן יכולות להיעשות בכל צורה (בכתב, בעל-פה ובהתנהגות). הסכמה </w:t>
      </w:r>
      <w:r w:rsidRPr="00F828C0">
        <w:rPr>
          <w:rFonts w:ascii="David" w:hAnsi="David" w:cs="David"/>
          <w:i/>
          <w:iCs/>
          <w:sz w:val="24"/>
          <w:szCs w:val="24"/>
          <w:rtl/>
        </w:rPr>
        <w:lastRenderedPageBreak/>
        <w:t>והשלמה הן אפקטיביות רק אם הן נעשות מתוך מודעות לנתונים הענייניים. אובייקט ההסכמה או ההשלמה היא זכות המשמורת או הביקור. הורה 'מסכים' להרחקת ילד או 'משלים' עם אי החזרתו כאשר ניתן להסיק מהתנהגותו (במובן הרחב) כי הוא מוותר על הגשמה דחופה של זכות המשמורת או הביקור, הנתונה לו על פי דין המדינה שבה היה מקום מגוריו הרגיל בסמוך לפני הרחקתו או אי החזרתו</w:t>
      </w:r>
      <w:r>
        <w:rPr>
          <w:rFonts w:ascii="David" w:hAnsi="David" w:cs="David"/>
          <w:sz w:val="24"/>
          <w:szCs w:val="24"/>
          <w:rtl/>
        </w:rPr>
        <w:t>" (ההגדשה אינה במקור. א.מ.). השופטת ביניש בפרשת דגן (רע"א 7994/98 דגן נ' דגן, פ"ד נג(3) 254) מאמצת גישה זו.</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על פי הקבוע בפרשת פלונית, לשני החריגים לחובת ההחזרה המיידית (חריג ההסכמה וחריג ההשלמה) שתי תכליות מרכזיות. האחת, נועדה לתת מענה הולם למצב בו ההורה "הנחטף" הסכים או השלים עם מעשה החטיפה, באופן המייתר את הצורך בהחזרת המצב לקדמותו באופן בהול ומיידי והשנייה, נועדה למנוע שימוש ציני בסעד ההחזרה המיידי המוענק במסגרת האמנה, באופן שיהפוך את האמנה לכלי מיקוח בידי ההורה הנחטף.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כך נפסק גם כן, מפי כב' השופטת ע' ארבל, כי </w:t>
      </w:r>
      <w:r>
        <w:rPr>
          <w:rFonts w:ascii="David" w:hAnsi="David" w:cs="David"/>
          <w:b/>
          <w:bCs/>
          <w:sz w:val="24"/>
          <w:szCs w:val="24"/>
          <w:rtl/>
        </w:rPr>
        <w:t>בהתאם לכוונת ההורים תיבחן ההסכמה או ההשלמה עם מעשה ההרחקה או אי-ההחזרה</w:t>
      </w:r>
      <w:r>
        <w:rPr>
          <w:rFonts w:ascii="David" w:hAnsi="David" w:cs="David"/>
          <w:sz w:val="24"/>
          <w:szCs w:val="24"/>
          <w:rtl/>
        </w:rPr>
        <w:t>, כאשר בהתקיימם "</w:t>
      </w:r>
      <w:r>
        <w:rPr>
          <w:rFonts w:ascii="David" w:hAnsi="David" w:cs="David"/>
          <w:i/>
          <w:iCs/>
          <w:sz w:val="24"/>
          <w:szCs w:val="24"/>
          <w:rtl/>
        </w:rPr>
        <w:t>אין לצוות על החזרת הקטין למדינת מקום המגורים הרגיל באופן מיידי. חובת ההחזרה המיידית אינה עוד בגדר חובה, והיא הופכת נתונה לשיקול דעת בית המשפט הדן בדבר</w:t>
      </w:r>
      <w:r>
        <w:rPr>
          <w:rFonts w:ascii="David" w:hAnsi="David" w:cs="David"/>
          <w:sz w:val="24"/>
          <w:szCs w:val="24"/>
          <w:rtl/>
        </w:rPr>
        <w:t xml:space="preserve">". </w:t>
      </w:r>
      <w:r w:rsidRPr="00F828C0">
        <w:rPr>
          <w:rFonts w:ascii="David" w:hAnsi="David" w:cs="David"/>
          <w:b/>
          <w:bCs/>
          <w:sz w:val="24"/>
          <w:szCs w:val="24"/>
          <w:rtl/>
        </w:rPr>
        <w:t>כך קבעה כב' השופטת ארבל ברוב דעות, בהתייחסה להסכמות שהתגבשו במסגרת משא ומתן בין הורים, שלא השתכלל לכדי חוזה מחייב, ועל אף שלא נחתם הסכם לבסוף</w:t>
      </w:r>
      <w:r>
        <w:rPr>
          <w:rFonts w:ascii="David" w:hAnsi="David" w:cs="David"/>
          <w:sz w:val="24"/>
          <w:szCs w:val="24"/>
          <w:rtl/>
        </w:rPr>
        <w:t xml:space="preserve"> [ראו: בע"מ 741/11 </w:t>
      </w:r>
      <w:r>
        <w:rPr>
          <w:rFonts w:ascii="David" w:hAnsi="David" w:cs="David"/>
          <w:b/>
          <w:bCs/>
          <w:sz w:val="24"/>
          <w:szCs w:val="24"/>
          <w:rtl/>
        </w:rPr>
        <w:t>פלונית נ' פלוני</w:t>
      </w:r>
      <w:r>
        <w:rPr>
          <w:rFonts w:ascii="David" w:hAnsi="David" w:cs="David"/>
          <w:sz w:val="24"/>
          <w:szCs w:val="24"/>
          <w:rtl/>
        </w:rPr>
        <w:t xml:space="preserve"> (מאגרים משפטיים, 17.5.2011)].</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עוד קבעה כב' השופטת ע' ארבל (במסגרת בע"מ 741/11 המובא לעיל) תוך שהיא מסכמת את ההלכה בעניין זה,  כי ההיגיון מחייב שמקרים בהם עולה שאלת תחולתם של החריגים יתבררו לגופם, כל מקרה ונסיבותיו הוא. מפאת חשיבות הדברים, אביא אותם להלן, על אף אריכותם: </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spacing w:after="0" w:line="360" w:lineRule="auto"/>
        <w:ind w:left="144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 xml:space="preserve">לפיכך, </w:t>
      </w:r>
      <w:r>
        <w:rPr>
          <w:rFonts w:ascii="David" w:hAnsi="David" w:cs="David"/>
          <w:b/>
          <w:bCs/>
          <w:i/>
          <w:iCs/>
          <w:sz w:val="24"/>
          <w:szCs w:val="24"/>
          <w:rtl/>
        </w:rPr>
        <w:t>אין לקבוע אמות מידה צרות לבחינת שאלת ההסכמה או ההשלמה</w:t>
      </w:r>
      <w:r>
        <w:rPr>
          <w:rFonts w:ascii="David" w:hAnsi="David" w:cs="David"/>
          <w:i/>
          <w:iCs/>
          <w:sz w:val="24"/>
          <w:szCs w:val="24"/>
          <w:rtl/>
        </w:rPr>
        <w:t xml:space="preserve">... שלושה מאפיינים עיקריים, מסייעים בבחינת תחולתם של החריגים ובהבנת הגבולות להתפרסותם: אופייה וטיבה של ההסכמה או ההשלמה; תחולת דיני החוזים; והמשקל שיש ליתן לסיבות ההסכמה או ההשלמה ולמשך הזמן שחלף... כל אלו יסייעו בידינו להשיב לשאלה, האם ההורה המבקש ויתר על הסעד של החזרת הקטין לאלתר, בכך שהסכים מלכתחילה למעשה או השלים עימו בדיעבד....  </w:t>
      </w:r>
    </w:p>
    <w:p w:rsidR="00AD7A83" w:rsidRDefault="00AD7A83" w:rsidP="009863FF">
      <w:pPr>
        <w:pStyle w:val="ad"/>
        <w:spacing w:after="0" w:line="360" w:lineRule="auto"/>
        <w:ind w:left="1440"/>
        <w:jc w:val="both"/>
        <w:rPr>
          <w:rFonts w:ascii="David" w:hAnsi="David" w:cs="David"/>
          <w:i/>
          <w:iCs/>
          <w:sz w:val="24"/>
          <w:szCs w:val="24"/>
        </w:rPr>
      </w:pPr>
      <w:r>
        <w:rPr>
          <w:rFonts w:ascii="David" w:hAnsi="David" w:cs="David"/>
          <w:i/>
          <w:iCs/>
          <w:sz w:val="24"/>
          <w:szCs w:val="24"/>
          <w:rtl/>
        </w:rPr>
        <w:t xml:space="preserve">נקבע, כי </w:t>
      </w:r>
      <w:r>
        <w:rPr>
          <w:rFonts w:ascii="David" w:hAnsi="David" w:cs="David"/>
          <w:b/>
          <w:bCs/>
          <w:i/>
          <w:iCs/>
          <w:sz w:val="24"/>
          <w:szCs w:val="24"/>
          <w:rtl/>
        </w:rPr>
        <w:t>אין הכרח כי אלו תהיינה מפורשות או תעשינה בדרך של מעשה אקטיבי</w:t>
      </w:r>
      <w:r>
        <w:rPr>
          <w:rFonts w:ascii="David" w:hAnsi="David" w:cs="David"/>
          <w:i/>
          <w:iCs/>
          <w:sz w:val="24"/>
          <w:szCs w:val="24"/>
          <w:rtl/>
        </w:rPr>
        <w:t>. ניתן ללמוד על הסכמה למעשה החטיפה או על השלמה עימו, גם מהתנהגות שבמחדל או מהתנהגות משתמעת. יחד עם זאת, אין בכוחו של כל צעד של מי מהצדדים כדי להעיד על הסכמה או וויתור. מדובר בבחינה מהותית של התנהגות ההורה הנחטף במובנה הרחב – עלינו להסיק ממכלול הנסיבות ומהסתכלות על תמונת המציאות הכוללת, כי ההורה וויתר על הגשמתן הדחופה של זכויות המשמורת או הביקור שהיו נתונות לו מכוח דינה של מדינת מקום המגורים הרגיל עובר למעשה ההרחקה או אי-ההחזרה.... בחינה זו הינה אובייקטיבית בעיקרה. הלך רוחו הסובייקטיבי של ההורה הנחטף ייבחן רק ככל שהוא יבוא לידי ביטוי בהתנהגותו החיצונית האובייקטיבית....</w:t>
      </w:r>
    </w:p>
    <w:p w:rsidR="00AD7A83" w:rsidRDefault="00AD7A83" w:rsidP="009863FF">
      <w:pPr>
        <w:pStyle w:val="ad"/>
        <w:spacing w:after="0" w:line="360" w:lineRule="auto"/>
        <w:ind w:left="1440"/>
        <w:jc w:val="both"/>
        <w:rPr>
          <w:rFonts w:ascii="David" w:hAnsi="David" w:cs="David"/>
          <w:i/>
          <w:iCs/>
          <w:sz w:val="24"/>
          <w:szCs w:val="24"/>
          <w:rtl/>
        </w:rPr>
      </w:pPr>
      <w:r>
        <w:rPr>
          <w:rFonts w:ascii="David" w:hAnsi="David" w:cs="David"/>
          <w:b/>
          <w:bCs/>
          <w:i/>
          <w:iCs/>
          <w:sz w:val="24"/>
          <w:szCs w:val="24"/>
          <w:rtl/>
        </w:rPr>
        <w:t>הסכמה או השלמה, הן חוזיות במהותן, שהרי זוהי פעולה חד צדדית הנעשית על ידי אחד ההורים, משתכללת אצל ההורה השני, ויוצרת אצלו אינטרס הסתמכות באשר לשינוי הסטאטוס קוו</w:t>
      </w:r>
      <w:r>
        <w:rPr>
          <w:rFonts w:ascii="David" w:hAnsi="David" w:cs="David"/>
          <w:i/>
          <w:iCs/>
          <w:sz w:val="24"/>
          <w:szCs w:val="24"/>
          <w:rtl/>
        </w:rPr>
        <w:t xml:space="preserve">. לפיכך, נקבע כי על חריגי ההסכמה וההשלמה חלים דיני החוזים, על </w:t>
      </w:r>
      <w:r>
        <w:rPr>
          <w:rFonts w:ascii="David" w:hAnsi="David" w:cs="David"/>
          <w:i/>
          <w:iCs/>
          <w:sz w:val="24"/>
          <w:szCs w:val="24"/>
          <w:rtl/>
        </w:rPr>
        <w:lastRenderedPageBreak/>
        <w:t>כל המשתמע מהם.... אם כי מן הראוי שהתחשבות באינטרס ההסתמכות כאמור תעשה בזהירות, פן ייהנה ההורה החוטף מפירות העוולה שיצר....</w:t>
      </w:r>
    </w:p>
    <w:p w:rsidR="00AD7A83" w:rsidRDefault="00AD7A83" w:rsidP="009863FF">
      <w:pPr>
        <w:pStyle w:val="ad"/>
        <w:spacing w:after="0" w:line="360" w:lineRule="auto"/>
        <w:ind w:left="1440"/>
        <w:jc w:val="both"/>
        <w:rPr>
          <w:rFonts w:ascii="David" w:hAnsi="David" w:cs="David"/>
          <w:sz w:val="24"/>
          <w:szCs w:val="24"/>
        </w:rPr>
      </w:pPr>
      <w:r>
        <w:rPr>
          <w:rFonts w:ascii="David" w:hAnsi="David" w:cs="David"/>
          <w:i/>
          <w:iCs/>
          <w:sz w:val="24"/>
          <w:szCs w:val="24"/>
          <w:rtl/>
        </w:rPr>
        <w:t>יהיו סיבותיו אשר יהיו</w:t>
      </w:r>
      <w:r>
        <w:rPr>
          <w:rFonts w:ascii="David" w:hAnsi="David" w:cs="David"/>
          <w:b/>
          <w:bCs/>
          <w:i/>
          <w:iCs/>
          <w:sz w:val="24"/>
          <w:szCs w:val="24"/>
          <w:rtl/>
        </w:rPr>
        <w:t>, באם התנהגות ההורה מלמדת על הסכמה או השלמה עם מעשה החטיפה, יש להסיק מכך כי הוא וויתר על הסעד המהיר והמיידי המוענק באמנה, ונכון לפתור את הסכסוך בדרכים אלטרנטיביות</w:t>
      </w:r>
      <w:r>
        <w:rPr>
          <w:rFonts w:ascii="David" w:hAnsi="David" w:cs="David"/>
          <w:sz w:val="24"/>
          <w:szCs w:val="24"/>
          <w:rtl/>
        </w:rPr>
        <w:t xml:space="preserve"> (ההדגשות אינן במקור. א.מ.). </w:t>
      </w:r>
    </w:p>
    <w:p w:rsidR="00AD7A83" w:rsidRDefault="00AD7A83" w:rsidP="009863FF">
      <w:pPr>
        <w:pStyle w:val="ad"/>
        <w:spacing w:after="0" w:line="360" w:lineRule="auto"/>
        <w:jc w:val="both"/>
        <w:rPr>
          <w:rFonts w:ascii="David" w:hAnsi="David" w:cs="David"/>
          <w:sz w:val="24"/>
          <w:szCs w:val="24"/>
        </w:rPr>
      </w:pPr>
    </w:p>
    <w:p w:rsidR="00AD7A83" w:rsidRPr="0076156C" w:rsidRDefault="00AD7A83" w:rsidP="0076156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בשעה שההסכמה וההשלמה, הן חוזיות במהותן, יש לבחון אותן בראי דיני החוזים ומשכך, עם חקיקתו של </w:t>
      </w:r>
      <w:r>
        <w:rPr>
          <w:rFonts w:ascii="David" w:hAnsi="David" w:cs="David"/>
          <w:b/>
          <w:bCs/>
          <w:sz w:val="24"/>
          <w:szCs w:val="24"/>
          <w:rtl/>
        </w:rPr>
        <w:t>חוק החוזים (חלק כללי)</w:t>
      </w:r>
      <w:r>
        <w:rPr>
          <w:rFonts w:ascii="David" w:hAnsi="David" w:cs="David"/>
          <w:sz w:val="24"/>
          <w:szCs w:val="24"/>
          <w:rtl/>
        </w:rPr>
        <w:t xml:space="preserve">, התשל"ג - 1973, חדר לעולמנו המשפטי - חקיקתי המושג "תום לב" (סעיפים 12 ו-39 לחוק) והתפתח בפסיקות ביהמ"ש העליון, שקבע כי עקרון תום הלב יחול על כל פעילות משפטית הנעשית תוך שימוש ב"יכולת" או ב"כוח", המצויים בידי בעל הזכות [ראו: בג"צ 59/80 </w:t>
      </w:r>
      <w:r>
        <w:rPr>
          <w:rFonts w:ascii="David" w:hAnsi="David" w:cs="David"/>
          <w:b/>
          <w:bCs/>
          <w:sz w:val="24"/>
          <w:szCs w:val="24"/>
          <w:rtl/>
        </w:rPr>
        <w:t>שירותי תחבורה ציבוריים בבאר שבע בע"מ נ' בית הדין הארצי לעבודה</w:t>
      </w:r>
      <w:r>
        <w:rPr>
          <w:rFonts w:ascii="David" w:hAnsi="David" w:cs="David"/>
          <w:sz w:val="24"/>
          <w:szCs w:val="24"/>
          <w:rtl/>
        </w:rPr>
        <w:t>, פ"ד לה (1), 828, מפי כב' השופט – כתוארו אז – א' ברק)].</w:t>
      </w: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בשלב מאוחר יותר קבע ביהמ"ש העליון שגם שימוש בזכות דיונית כפופה לעקרון תום הלב [ראו: בר"ע 305/80 </w:t>
      </w:r>
      <w:r>
        <w:rPr>
          <w:rFonts w:ascii="David" w:hAnsi="David" w:cs="David"/>
          <w:b/>
          <w:bCs/>
          <w:sz w:val="24"/>
          <w:szCs w:val="24"/>
          <w:rtl/>
        </w:rPr>
        <w:t>שילה נ' רצקובסקי</w:t>
      </w:r>
      <w:r>
        <w:rPr>
          <w:rFonts w:ascii="David" w:hAnsi="David" w:cs="David"/>
          <w:sz w:val="24"/>
          <w:szCs w:val="24"/>
          <w:rtl/>
        </w:rPr>
        <w:t>, פ"ד לה (3), 449)].</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כב' השופט מ' דרורי החיל עיקרון זה על יישום אמנת האג, זאת במסגרת ע"מ (מחוזי ירושלים) 621/04 </w:t>
      </w:r>
      <w:r>
        <w:rPr>
          <w:rFonts w:ascii="David" w:hAnsi="David" w:cs="David"/>
          <w:b/>
          <w:bCs/>
          <w:sz w:val="24"/>
          <w:szCs w:val="24"/>
          <w:rtl/>
        </w:rPr>
        <w:t>ד' י' נ' ד' ר'</w:t>
      </w:r>
      <w:r>
        <w:rPr>
          <w:rFonts w:ascii="David" w:hAnsi="David" w:cs="David"/>
          <w:sz w:val="24"/>
          <w:szCs w:val="24"/>
          <w:rtl/>
        </w:rPr>
        <w:t xml:space="preserve"> (מאגרים משפטיים, 18.11.2004) כדלהלן:</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spacing w:after="0" w:line="360" w:lineRule="auto"/>
        <w:ind w:left="1440"/>
        <w:jc w:val="both"/>
        <w:rPr>
          <w:rFonts w:ascii="David" w:hAnsi="David" w:cs="David"/>
          <w:i/>
          <w:iCs/>
          <w:sz w:val="24"/>
          <w:szCs w:val="24"/>
        </w:rPr>
      </w:pPr>
      <w:r>
        <w:rPr>
          <w:rFonts w:ascii="David" w:hAnsi="David" w:cs="David"/>
          <w:sz w:val="24"/>
          <w:szCs w:val="24"/>
          <w:rtl/>
        </w:rPr>
        <w:lastRenderedPageBreak/>
        <w:t>"</w:t>
      </w:r>
      <w:r>
        <w:rPr>
          <w:rFonts w:ascii="David" w:hAnsi="David" w:cs="David"/>
          <w:i/>
          <w:iCs/>
          <w:sz w:val="24"/>
          <w:szCs w:val="24"/>
          <w:rtl/>
        </w:rPr>
        <w:t>סבור אני, כי גם כאשר עוסקים אנו ביישום אמנה בינלאומית, אשר הגיעה אלינו באמצעות חקיקה של הכנסת (ראה: חוק אמנת האג, המוזכר בפסקה 1 של פסק דין זה), חייבים אנו ליישמה על פי עקרונות השיטה הישראלית....</w:t>
      </w:r>
    </w:p>
    <w:p w:rsidR="00AD7A83" w:rsidRDefault="00AD7A83" w:rsidP="009863FF">
      <w:pPr>
        <w:pStyle w:val="ad"/>
        <w:spacing w:after="0" w:line="360" w:lineRule="auto"/>
        <w:ind w:left="1440"/>
        <w:jc w:val="both"/>
        <w:rPr>
          <w:rFonts w:ascii="David" w:hAnsi="David" w:cs="David"/>
          <w:sz w:val="24"/>
          <w:szCs w:val="24"/>
          <w:rtl/>
        </w:rPr>
      </w:pPr>
      <w:r>
        <w:rPr>
          <w:rFonts w:ascii="David" w:hAnsi="David" w:cs="David"/>
          <w:i/>
          <w:iCs/>
          <w:sz w:val="24"/>
          <w:szCs w:val="24"/>
          <w:rtl/>
        </w:rPr>
        <w:t>הוא הדין במקרה שלפנינו. נראה לי כי השיטה הישראלית קלטה לתוכה את עקרון תום הלב באופן כה רחב ואינטנסיבי, שיהא זה בלתי סביר אם נבחר סוגיה משפטית מיוחדת ונוציא אותה מכלל תחולת עקרון זה. נהפוך הוא, דווקא הצורך לראות בעולם המשפט מבנה קוהרנטי והרמוני, מחייב את המסקנה כי</w:t>
      </w:r>
      <w:r w:rsidRPr="00F828C0">
        <w:rPr>
          <w:rFonts w:ascii="David" w:hAnsi="David" w:cs="David"/>
          <w:b/>
          <w:bCs/>
          <w:i/>
          <w:iCs/>
          <w:sz w:val="24"/>
          <w:szCs w:val="24"/>
          <w:rtl/>
        </w:rPr>
        <w:t xml:space="preserve"> יש להפעיל את עקרון תום הלב גם כאשר העותר רוצה ליישם אמנה בינלאומית</w:t>
      </w:r>
      <w:r>
        <w:rPr>
          <w:rFonts w:ascii="David" w:hAnsi="David" w:cs="David"/>
          <w:i/>
          <w:iCs/>
          <w:sz w:val="24"/>
          <w:szCs w:val="24"/>
          <w:rtl/>
        </w:rPr>
        <w:t>, אף שזו אינה כוללת בתוכה עקרון זה</w:t>
      </w:r>
      <w:r>
        <w:rPr>
          <w:rFonts w:ascii="David" w:hAnsi="David" w:cs="David"/>
          <w:sz w:val="24"/>
          <w:szCs w:val="24"/>
          <w:rtl/>
        </w:rPr>
        <w:t>"</w:t>
      </w:r>
      <w:r w:rsidR="00F828C0">
        <w:rPr>
          <w:rFonts w:ascii="David" w:hAnsi="David" w:cs="David" w:hint="cs"/>
          <w:sz w:val="24"/>
          <w:szCs w:val="24"/>
          <w:rtl/>
        </w:rPr>
        <w:t xml:space="preserve"> (ההדגשה אינה במקור. א.מ.)</w:t>
      </w:r>
      <w:r>
        <w:rPr>
          <w:rFonts w:ascii="David" w:hAnsi="David" w:cs="David"/>
          <w:sz w:val="24"/>
          <w:szCs w:val="24"/>
          <w:rtl/>
        </w:rPr>
        <w:t>.</w:t>
      </w:r>
    </w:p>
    <w:p w:rsidR="00AD7A83" w:rsidRDefault="00AD7A83" w:rsidP="009863FF">
      <w:pPr>
        <w:spacing w:line="360" w:lineRule="auto"/>
        <w:jc w:val="both"/>
        <w:rPr>
          <w:rFonts w:ascii="David" w:hAnsi="David"/>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ומן הדין אל הנדון:</w:t>
      </w:r>
      <w:r w:rsidR="00E03CA7">
        <w:rPr>
          <w:rFonts w:ascii="David" w:hAnsi="David" w:cs="David"/>
          <w:sz w:val="24"/>
          <w:szCs w:val="24"/>
          <w:rtl/>
        </w:rPr>
        <w:t xml:space="preserve"> ב</w:t>
      </w:r>
      <w:r>
        <w:rPr>
          <w:rFonts w:ascii="David" w:hAnsi="David" w:cs="David"/>
          <w:sz w:val="24"/>
          <w:szCs w:val="24"/>
          <w:rtl/>
        </w:rPr>
        <w:t xml:space="preserve">בית המשפט העידו התובע ועד נוסף מטעם הנתבעת (באמצעות </w:t>
      </w:r>
      <w:r>
        <w:rPr>
          <w:rFonts w:ascii="David" w:hAnsi="David" w:cs="David"/>
          <w:sz w:val="24"/>
          <w:szCs w:val="24"/>
        </w:rPr>
        <w:t>VC</w:t>
      </w:r>
      <w:r>
        <w:rPr>
          <w:rFonts w:ascii="David" w:hAnsi="David" w:cs="David"/>
          <w:sz w:val="24"/>
          <w:szCs w:val="24"/>
          <w:rtl/>
        </w:rPr>
        <w:t>) וכן הנתבעת ועד נוסף מטעמה, כמפורט בפרק עדויות הצדדים.</w:t>
      </w:r>
    </w:p>
    <w:p w:rsidR="00AD7A83" w:rsidRDefault="00AD7A83" w:rsidP="009863FF">
      <w:pPr>
        <w:pStyle w:val="ad"/>
        <w:spacing w:after="0" w:line="360" w:lineRule="auto"/>
        <w:jc w:val="both"/>
        <w:rPr>
          <w:rFonts w:ascii="David" w:hAnsi="David" w:cs="David"/>
          <w:sz w:val="24"/>
          <w:szCs w:val="24"/>
        </w:rPr>
      </w:pPr>
    </w:p>
    <w:p w:rsidR="00AD7A83" w:rsidRDefault="00AD7A83" w:rsidP="00E03CA7">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מכלול העדויות הביאוני לכדי למסקנה כי </w:t>
      </w:r>
      <w:r w:rsidR="00E03CA7">
        <w:rPr>
          <w:rFonts w:ascii="David" w:hAnsi="David" w:cs="David" w:hint="cs"/>
          <w:sz w:val="24"/>
          <w:szCs w:val="24"/>
          <w:rtl/>
        </w:rPr>
        <w:t xml:space="preserve">האב, </w:t>
      </w:r>
      <w:r>
        <w:rPr>
          <w:rFonts w:ascii="David" w:hAnsi="David" w:cs="David"/>
          <w:sz w:val="24"/>
          <w:szCs w:val="24"/>
          <w:rtl/>
        </w:rPr>
        <w:t>ב</w:t>
      </w:r>
      <w:r w:rsidR="00E03CA7">
        <w:rPr>
          <w:rFonts w:ascii="David" w:hAnsi="David" w:cs="David" w:hint="cs"/>
          <w:sz w:val="24"/>
          <w:szCs w:val="24"/>
          <w:rtl/>
        </w:rPr>
        <w:t>ין אם ב</w:t>
      </w:r>
      <w:r>
        <w:rPr>
          <w:rFonts w:ascii="David" w:hAnsi="David" w:cs="David"/>
          <w:sz w:val="24"/>
          <w:szCs w:val="24"/>
          <w:rtl/>
        </w:rPr>
        <w:t xml:space="preserve">התנהגותו </w:t>
      </w:r>
      <w:r w:rsidR="00E03CA7">
        <w:rPr>
          <w:rFonts w:ascii="David" w:hAnsi="David" w:cs="David" w:hint="cs"/>
          <w:sz w:val="24"/>
          <w:szCs w:val="24"/>
          <w:rtl/>
        </w:rPr>
        <w:t>ובין אם בהצהרותיו (באופן עצמאי ובאמצעות שליחים מטעמו)</w:t>
      </w:r>
      <w:r>
        <w:rPr>
          <w:rFonts w:ascii="David" w:hAnsi="David" w:cs="David"/>
          <w:sz w:val="24"/>
          <w:szCs w:val="24"/>
          <w:rtl/>
        </w:rPr>
        <w:t>, בין אם בהסכמה אקטיבית במועד בו הודיעה לו האם כי אין בכוונתה לשוב למקום מגוריהם הרגיל של הקטינים ובין אם בהשלמה, במחדל או במעשה, לאחר מכן, ויתר על הסעד המהיר והמיידי המוענק בחסות האמנה ("העזרה הראשונה" כלשונה של כב' השופטת ארבל) והוא נכון לפתור את הסכסוך בדרכים אלטרנטיביות.</w:t>
      </w:r>
    </w:p>
    <w:p w:rsidR="00AD7A83" w:rsidRPr="00E03CA7" w:rsidRDefault="00AD7A83" w:rsidP="009863FF">
      <w:pPr>
        <w:pStyle w:val="ad"/>
        <w:spacing w:after="0" w:line="360" w:lineRule="auto"/>
        <w:jc w:val="both"/>
        <w:rPr>
          <w:rFonts w:ascii="David" w:hAnsi="David" w:cs="David"/>
          <w:sz w:val="24"/>
          <w:szCs w:val="24"/>
        </w:rPr>
      </w:pPr>
    </w:p>
    <w:p w:rsidR="00AD7A83" w:rsidRDefault="00E03CA7" w:rsidP="009863FF">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lastRenderedPageBreak/>
        <w:t>כפי שהבאתי</w:t>
      </w:r>
      <w:r w:rsidR="00AD7A83">
        <w:rPr>
          <w:rFonts w:ascii="David" w:hAnsi="David" w:cs="David"/>
          <w:sz w:val="24"/>
          <w:szCs w:val="24"/>
          <w:rtl/>
        </w:rPr>
        <w:t xml:space="preserve"> לעיל באריכות, גרסתו ש</w:t>
      </w:r>
      <w:r>
        <w:rPr>
          <w:rFonts w:ascii="David" w:hAnsi="David" w:cs="David"/>
          <w:sz w:val="24"/>
          <w:szCs w:val="24"/>
          <w:rtl/>
        </w:rPr>
        <w:t xml:space="preserve">ל האב בדבר </w:t>
      </w:r>
      <w:r>
        <w:rPr>
          <w:rFonts w:ascii="David" w:hAnsi="David" w:cs="David" w:hint="cs"/>
          <w:sz w:val="24"/>
          <w:szCs w:val="24"/>
          <w:rtl/>
        </w:rPr>
        <w:t>גיבוש או גיבוש</w:t>
      </w:r>
      <w:r>
        <w:rPr>
          <w:rFonts w:ascii="David" w:hAnsi="David" w:cs="David"/>
          <w:sz w:val="24"/>
          <w:szCs w:val="24"/>
          <w:rtl/>
        </w:rPr>
        <w:t xml:space="preserve"> ההסכמות</w:t>
      </w:r>
      <w:r>
        <w:rPr>
          <w:rFonts w:ascii="David" w:hAnsi="David" w:cs="David" w:hint="cs"/>
          <w:sz w:val="24"/>
          <w:szCs w:val="24"/>
          <w:rtl/>
        </w:rPr>
        <w:t xml:space="preserve"> </w:t>
      </w:r>
      <w:r>
        <w:rPr>
          <w:rFonts w:ascii="David" w:hAnsi="David" w:cs="David"/>
          <w:sz w:val="24"/>
          <w:szCs w:val="24"/>
          <w:rtl/>
        </w:rPr>
        <w:t>העלתה תמיהות רבות</w:t>
      </w:r>
      <w:r>
        <w:rPr>
          <w:rFonts w:ascii="David" w:hAnsi="David" w:cs="David" w:hint="cs"/>
          <w:sz w:val="24"/>
          <w:szCs w:val="24"/>
          <w:rtl/>
        </w:rPr>
        <w:t>,</w:t>
      </w:r>
      <w:r>
        <w:rPr>
          <w:rFonts w:ascii="David" w:hAnsi="David" w:cs="David"/>
          <w:sz w:val="24"/>
          <w:szCs w:val="24"/>
          <w:rtl/>
        </w:rPr>
        <w:t xml:space="preserve"> ובעוד האב מנסה להרחיק עצמו מ</w:t>
      </w:r>
      <w:r w:rsidR="00AD7A83">
        <w:rPr>
          <w:rFonts w:ascii="David" w:hAnsi="David" w:cs="David"/>
          <w:sz w:val="24"/>
          <w:szCs w:val="24"/>
          <w:rtl/>
        </w:rPr>
        <w:t>הסכמה</w:t>
      </w:r>
      <w:r>
        <w:rPr>
          <w:rFonts w:ascii="David" w:hAnsi="David" w:cs="David" w:hint="cs"/>
          <w:sz w:val="24"/>
          <w:szCs w:val="24"/>
          <w:rtl/>
        </w:rPr>
        <w:t xml:space="preserve"> כלשהי</w:t>
      </w:r>
      <w:r w:rsidR="00AD7A83">
        <w:rPr>
          <w:rFonts w:ascii="David" w:hAnsi="David" w:cs="David"/>
          <w:sz w:val="24"/>
          <w:szCs w:val="24"/>
          <w:rtl/>
        </w:rPr>
        <w:t>, בוודאי כזאת הקשורה בקטינים ובמקום מגוריהם הקבוע, התבררה אט אט תמונה הפוכה בתכלית, ולפיה בין הצדדים גובשו הסכמות</w:t>
      </w:r>
      <w:r>
        <w:rPr>
          <w:rFonts w:ascii="David" w:hAnsi="David" w:cs="David" w:hint="cs"/>
          <w:sz w:val="24"/>
          <w:szCs w:val="24"/>
          <w:rtl/>
        </w:rPr>
        <w:t>,</w:t>
      </w:r>
      <w:r w:rsidR="00AD7A83">
        <w:rPr>
          <w:rFonts w:ascii="David" w:hAnsi="David" w:cs="David"/>
          <w:sz w:val="24"/>
          <w:szCs w:val="24"/>
          <w:rtl/>
        </w:rPr>
        <w:t xml:space="preserve"> שכללו הסכמה ברורה כי האב ירכוש את חלקה של האם בדירה ב</w:t>
      </w:r>
      <w:r w:rsidR="00F8253F">
        <w:rPr>
          <w:rFonts w:ascii="David" w:hAnsi="David" w:cs="David"/>
          <w:sz w:val="24"/>
          <w:szCs w:val="24"/>
          <w:rtl/>
        </w:rPr>
        <w:t>...</w:t>
      </w:r>
      <w:r w:rsidR="00AD7A83">
        <w:rPr>
          <w:rFonts w:ascii="David" w:hAnsi="David" w:cs="David"/>
          <w:sz w:val="24"/>
          <w:szCs w:val="24"/>
          <w:rtl/>
        </w:rPr>
        <w:t xml:space="preserve"> ובתמורה תרכוש האם דירה בישראל, בה תגור עם הקטינים.</w:t>
      </w:r>
    </w:p>
    <w:p w:rsidR="00AD7A83" w:rsidRDefault="00AD7A83" w:rsidP="009863FF">
      <w:pPr>
        <w:pStyle w:val="ad"/>
        <w:spacing w:after="0" w:line="360" w:lineRule="auto"/>
        <w:jc w:val="both"/>
        <w:rPr>
          <w:rFonts w:ascii="David" w:hAnsi="David" w:cs="David"/>
          <w:sz w:val="24"/>
          <w:szCs w:val="24"/>
        </w:rPr>
      </w:pPr>
    </w:p>
    <w:p w:rsidR="00733C13" w:rsidRPr="0076156C" w:rsidRDefault="00733C13" w:rsidP="0076156C">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מצאתי אם כן, כי </w:t>
      </w:r>
      <w:r>
        <w:rPr>
          <w:rFonts w:ascii="David" w:hAnsi="David" w:cs="David"/>
          <w:b/>
          <w:bCs/>
          <w:sz w:val="24"/>
          <w:szCs w:val="24"/>
          <w:rtl/>
        </w:rPr>
        <w:t>כוונת ההורים</w:t>
      </w:r>
      <w:r w:rsidR="0082251B">
        <w:rPr>
          <w:rFonts w:ascii="David" w:hAnsi="David" w:cs="David" w:hint="cs"/>
          <w:b/>
          <w:bCs/>
          <w:sz w:val="24"/>
          <w:szCs w:val="24"/>
          <w:rtl/>
        </w:rPr>
        <w:t xml:space="preserve"> שלפני</w:t>
      </w:r>
      <w:r>
        <w:rPr>
          <w:rFonts w:ascii="David" w:hAnsi="David" w:cs="David"/>
          <w:b/>
          <w:bCs/>
          <w:sz w:val="24"/>
          <w:szCs w:val="24"/>
          <w:rtl/>
        </w:rPr>
        <w:t xml:space="preserve"> </w:t>
      </w:r>
      <w:r>
        <w:rPr>
          <w:rFonts w:ascii="David" w:hAnsi="David" w:cs="David" w:hint="cs"/>
          <w:b/>
          <w:bCs/>
          <w:sz w:val="24"/>
          <w:szCs w:val="24"/>
          <w:rtl/>
        </w:rPr>
        <w:t>מלמדת על</w:t>
      </w:r>
      <w:r>
        <w:rPr>
          <w:rFonts w:ascii="David" w:hAnsi="David" w:cs="David"/>
          <w:b/>
          <w:bCs/>
          <w:sz w:val="24"/>
          <w:szCs w:val="24"/>
          <w:rtl/>
        </w:rPr>
        <w:t xml:space="preserve"> ההסכמה </w:t>
      </w:r>
      <w:r w:rsidR="0082251B">
        <w:rPr>
          <w:rFonts w:ascii="David" w:hAnsi="David" w:cs="David" w:hint="cs"/>
          <w:b/>
          <w:bCs/>
          <w:sz w:val="24"/>
          <w:szCs w:val="24"/>
          <w:rtl/>
        </w:rPr>
        <w:t>ו/</w:t>
      </w:r>
      <w:r>
        <w:rPr>
          <w:rFonts w:ascii="David" w:hAnsi="David" w:cs="David"/>
          <w:b/>
          <w:bCs/>
          <w:sz w:val="24"/>
          <w:szCs w:val="24"/>
          <w:rtl/>
        </w:rPr>
        <w:t>או ההשלמה עם מעשה אי-ההחזר</w:t>
      </w:r>
      <w:r>
        <w:rPr>
          <w:rFonts w:ascii="David" w:hAnsi="David" w:cs="David" w:hint="cs"/>
          <w:b/>
          <w:bCs/>
          <w:sz w:val="24"/>
          <w:szCs w:val="24"/>
          <w:rtl/>
        </w:rPr>
        <w:t>ה</w:t>
      </w:r>
      <w:r w:rsidR="0082251B">
        <w:rPr>
          <w:rFonts w:ascii="David" w:hAnsi="David" w:cs="David" w:hint="cs"/>
          <w:b/>
          <w:bCs/>
          <w:sz w:val="24"/>
          <w:szCs w:val="24"/>
          <w:rtl/>
        </w:rPr>
        <w:t xml:space="preserve"> ובשעה שנפסק שההסכמה וההשלמה </w:t>
      </w:r>
      <w:r w:rsidR="0082251B" w:rsidRPr="0082251B">
        <w:rPr>
          <w:rFonts w:ascii="David" w:hAnsi="David" w:cs="David"/>
          <w:b/>
          <w:bCs/>
          <w:sz w:val="24"/>
          <w:szCs w:val="24"/>
          <w:rtl/>
        </w:rPr>
        <w:t xml:space="preserve">הן חוזיות במהותן, </w:t>
      </w:r>
      <w:r w:rsidR="0082251B">
        <w:rPr>
          <w:rFonts w:ascii="David" w:hAnsi="David" w:cs="David" w:hint="cs"/>
          <w:b/>
          <w:bCs/>
          <w:sz w:val="24"/>
          <w:szCs w:val="24"/>
          <w:rtl/>
        </w:rPr>
        <w:t>בהיותן פעולות</w:t>
      </w:r>
      <w:r w:rsidR="0082251B" w:rsidRPr="0082251B">
        <w:rPr>
          <w:rFonts w:ascii="David" w:hAnsi="David" w:cs="David"/>
          <w:b/>
          <w:bCs/>
          <w:sz w:val="24"/>
          <w:szCs w:val="24"/>
          <w:rtl/>
        </w:rPr>
        <w:t xml:space="preserve"> חד צדדי</w:t>
      </w:r>
      <w:r w:rsidR="0082251B">
        <w:rPr>
          <w:rFonts w:ascii="David" w:hAnsi="David" w:cs="David" w:hint="cs"/>
          <w:b/>
          <w:bCs/>
          <w:sz w:val="24"/>
          <w:szCs w:val="24"/>
          <w:rtl/>
        </w:rPr>
        <w:t>ו</w:t>
      </w:r>
      <w:r w:rsidR="0082251B">
        <w:rPr>
          <w:rFonts w:ascii="David" w:hAnsi="David" w:cs="David"/>
          <w:b/>
          <w:bCs/>
          <w:sz w:val="24"/>
          <w:szCs w:val="24"/>
          <w:rtl/>
        </w:rPr>
        <w:t>ת הנעש</w:t>
      </w:r>
      <w:r w:rsidR="0082251B">
        <w:rPr>
          <w:rFonts w:ascii="David" w:hAnsi="David" w:cs="David" w:hint="cs"/>
          <w:b/>
          <w:bCs/>
          <w:sz w:val="24"/>
          <w:szCs w:val="24"/>
          <w:rtl/>
        </w:rPr>
        <w:t>ו</w:t>
      </w:r>
      <w:r w:rsidR="0082251B" w:rsidRPr="0082251B">
        <w:rPr>
          <w:rFonts w:ascii="David" w:hAnsi="David" w:cs="David"/>
          <w:b/>
          <w:bCs/>
          <w:sz w:val="24"/>
          <w:szCs w:val="24"/>
          <w:rtl/>
        </w:rPr>
        <w:t xml:space="preserve">ת על ידי אחד ההורים, </w:t>
      </w:r>
      <w:r w:rsidR="0082251B">
        <w:rPr>
          <w:rFonts w:ascii="David" w:hAnsi="David" w:cs="David" w:hint="cs"/>
          <w:b/>
          <w:bCs/>
          <w:sz w:val="24"/>
          <w:szCs w:val="24"/>
          <w:rtl/>
        </w:rPr>
        <w:t>השתכללה אצל האם</w:t>
      </w:r>
      <w:r w:rsidR="0082251B" w:rsidRPr="0082251B">
        <w:rPr>
          <w:rFonts w:ascii="David" w:hAnsi="David" w:cs="David"/>
          <w:b/>
          <w:bCs/>
          <w:sz w:val="24"/>
          <w:szCs w:val="24"/>
          <w:rtl/>
        </w:rPr>
        <w:t>, ו</w:t>
      </w:r>
      <w:r w:rsidR="0082251B">
        <w:rPr>
          <w:rFonts w:ascii="David" w:hAnsi="David" w:cs="David" w:hint="cs"/>
          <w:b/>
          <w:bCs/>
          <w:sz w:val="24"/>
          <w:szCs w:val="24"/>
          <w:rtl/>
        </w:rPr>
        <w:t>נוצר</w:t>
      </w:r>
      <w:r w:rsidR="0082251B">
        <w:rPr>
          <w:rFonts w:ascii="David" w:hAnsi="David" w:cs="David"/>
          <w:b/>
          <w:bCs/>
          <w:sz w:val="24"/>
          <w:szCs w:val="24"/>
          <w:rtl/>
        </w:rPr>
        <w:t xml:space="preserve"> אצל</w:t>
      </w:r>
      <w:r w:rsidR="0082251B">
        <w:rPr>
          <w:rFonts w:ascii="David" w:hAnsi="David" w:cs="David" w:hint="cs"/>
          <w:b/>
          <w:bCs/>
          <w:sz w:val="24"/>
          <w:szCs w:val="24"/>
          <w:rtl/>
        </w:rPr>
        <w:t>ה</w:t>
      </w:r>
      <w:r w:rsidR="0082251B" w:rsidRPr="0082251B">
        <w:rPr>
          <w:rFonts w:ascii="David" w:hAnsi="David" w:cs="David"/>
          <w:b/>
          <w:bCs/>
          <w:sz w:val="24"/>
          <w:szCs w:val="24"/>
          <w:rtl/>
        </w:rPr>
        <w:t xml:space="preserve"> אינטרס הסתמכות באשר לשינוי הסטאטוס קוו</w:t>
      </w:r>
      <w:r w:rsidR="0082251B">
        <w:rPr>
          <w:rFonts w:ascii="David" w:hAnsi="David" w:cs="David" w:hint="cs"/>
          <w:b/>
          <w:bCs/>
          <w:sz w:val="24"/>
          <w:szCs w:val="24"/>
          <w:rtl/>
        </w:rPr>
        <w:t xml:space="preserve"> ולפיו היא והקטינים ימשיכו להתגורר בישראל</w:t>
      </w:r>
      <w:r>
        <w:rPr>
          <w:rFonts w:ascii="David" w:hAnsi="David" w:cs="David" w:hint="cs"/>
          <w:b/>
          <w:bCs/>
          <w:sz w:val="24"/>
          <w:szCs w:val="24"/>
          <w:rtl/>
        </w:rPr>
        <w:t>.</w:t>
      </w:r>
    </w:p>
    <w:p w:rsidR="00AD7A83" w:rsidRDefault="004412D7" w:rsidP="00851857">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בשעה שעסקינן בחריגים </w:t>
      </w:r>
      <w:r w:rsidR="00C40E3B">
        <w:rPr>
          <w:rFonts w:ascii="David" w:hAnsi="David" w:cs="David" w:hint="cs"/>
          <w:sz w:val="24"/>
          <w:szCs w:val="24"/>
          <w:rtl/>
        </w:rPr>
        <w:t xml:space="preserve">חוזיים במהותם, </w:t>
      </w:r>
      <w:r w:rsidR="00AD7A83">
        <w:rPr>
          <w:rFonts w:ascii="David" w:hAnsi="David" w:cs="David"/>
          <w:sz w:val="24"/>
          <w:szCs w:val="24"/>
          <w:rtl/>
        </w:rPr>
        <w:t xml:space="preserve">מצאתי </w:t>
      </w:r>
      <w:r w:rsidR="00C40E3B">
        <w:rPr>
          <w:rFonts w:ascii="David" w:hAnsi="David" w:cs="David" w:hint="cs"/>
          <w:sz w:val="24"/>
          <w:szCs w:val="24"/>
          <w:rtl/>
        </w:rPr>
        <w:t xml:space="preserve">להביא לכך גם </w:t>
      </w:r>
      <w:r w:rsidR="00AD7A83">
        <w:rPr>
          <w:rFonts w:ascii="David" w:hAnsi="David" w:cs="David"/>
          <w:sz w:val="24"/>
          <w:szCs w:val="24"/>
          <w:rtl/>
        </w:rPr>
        <w:t>סימוכין מן המשפט העברי, אשר נותן משקל לבחינת אומד דעתם של צדדים, בעת בחינת מסגרת הסכמותיהם, ומצאתי כי ההסכמה על מכירת דירת הצדדים (לצד יתר הנסיבות והעדויות המובאות לעיל) מדברת בפני עצמה ומלמדת גם על כוונתם</w:t>
      </w:r>
      <w:r w:rsidR="00C40E3B">
        <w:rPr>
          <w:rFonts w:ascii="David" w:hAnsi="David" w:cs="David"/>
          <w:sz w:val="24"/>
          <w:szCs w:val="24"/>
          <w:rtl/>
        </w:rPr>
        <w:t xml:space="preserve"> בדבר הישארות האם והקטינים ב</w:t>
      </w:r>
      <w:r w:rsidR="00AD7A83">
        <w:rPr>
          <w:rFonts w:ascii="David" w:hAnsi="David" w:cs="David"/>
          <w:sz w:val="24"/>
          <w:szCs w:val="24"/>
          <w:rtl/>
        </w:rPr>
        <w:t>ישראל.</w:t>
      </w:r>
    </w:p>
    <w:p w:rsidR="00AD7A83" w:rsidRPr="0076156C" w:rsidRDefault="00AD7A83" w:rsidP="00851857">
      <w:pPr>
        <w:pStyle w:val="ad"/>
        <w:spacing w:after="0" w:line="360" w:lineRule="auto"/>
        <w:jc w:val="both"/>
        <w:rPr>
          <w:rFonts w:ascii="David" w:hAnsi="David" w:cs="David"/>
          <w:sz w:val="24"/>
          <w:szCs w:val="24"/>
        </w:rPr>
      </w:pPr>
    </w:p>
    <w:p w:rsidR="00AD7A83" w:rsidRDefault="00AD7A83" w:rsidP="0085185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חביבים הדברים שהובאו בדברי מר זקני (חבר ביה"ד הרבני הגדול לערעורים הדיין הרב יהושע מאמאן זצ"ל) בספרו עמק יהושע, חלק ב', חו"מ, ד', עמ' קנא בשם מו"ז בספרו יד רמ"ה, חו"מ סימן ז' בעניין זה:</w:t>
      </w:r>
    </w:p>
    <w:p w:rsidR="00AD7A83" w:rsidRDefault="00AD7A83" w:rsidP="00851857">
      <w:pPr>
        <w:pStyle w:val="ad"/>
        <w:spacing w:after="0" w:line="360" w:lineRule="auto"/>
        <w:jc w:val="both"/>
        <w:rPr>
          <w:rFonts w:ascii="David" w:hAnsi="David" w:cs="David"/>
          <w:sz w:val="24"/>
          <w:szCs w:val="24"/>
          <w:rtl/>
        </w:rPr>
      </w:pPr>
    </w:p>
    <w:p w:rsidR="00AD7A83" w:rsidRDefault="00AD7A83" w:rsidP="00851857">
      <w:pPr>
        <w:pStyle w:val="ad"/>
        <w:spacing w:after="0" w:line="360" w:lineRule="auto"/>
        <w:ind w:left="1440"/>
        <w:jc w:val="both"/>
        <w:rPr>
          <w:rFonts w:ascii="David" w:hAnsi="David" w:cs="David"/>
          <w:sz w:val="24"/>
          <w:szCs w:val="24"/>
          <w:rtl/>
        </w:rPr>
      </w:pPr>
      <w:r>
        <w:rPr>
          <w:rFonts w:ascii="David" w:hAnsi="David" w:cs="David"/>
          <w:sz w:val="24"/>
          <w:szCs w:val="24"/>
          <w:rtl/>
        </w:rPr>
        <w:lastRenderedPageBreak/>
        <w:t>"</w:t>
      </w:r>
      <w:r>
        <w:rPr>
          <w:rFonts w:ascii="David" w:hAnsi="David" w:cs="David"/>
          <w:i/>
          <w:iCs/>
          <w:sz w:val="24"/>
          <w:szCs w:val="24"/>
          <w:rtl/>
        </w:rPr>
        <w:t>בענין דזבן נכסיה אדעתא למיסק לארץ ישראל, ולא פירש בשעת המכר דאדעתא דהכי הוא מוכר, אך יש כמה אומדנות דמוכחי הכי (תרגום: בעניין מי שמכר נכס על דעת לעלות לארץ ישראל, אולם לא פירש בשעת המכירה שעל דעת כך הוא מוכר, אולם יש מספר אומדנות שמוכיחות כך). והעלה בסוף דבריו וכתב וזה לשונו: נמצא שבנידון דידן שגוף המעשה שהוא המכר מבורר לפנינו, אלא שאנחנו מסופקין בדעת המוכר אם אדעתא דהכי מכר אם לאו, בזה ודאי הדבר ברור דאזלינן בתר אומדנא שהיא טובה ובריאה, ונתבטל המקח, ו</w:t>
      </w:r>
      <w:r w:rsidR="00851857">
        <w:rPr>
          <w:rFonts w:ascii="David" w:hAnsi="David" w:cs="David"/>
          <w:i/>
          <w:iCs/>
          <w:sz w:val="24"/>
          <w:szCs w:val="24"/>
          <w:rtl/>
        </w:rPr>
        <w:t>זכה המוכר הנזכר בביתו ובחומותיו</w:t>
      </w:r>
      <w:r w:rsidR="00851857">
        <w:rPr>
          <w:rFonts w:ascii="David" w:hAnsi="David" w:cs="David" w:hint="cs"/>
          <w:i/>
          <w:iCs/>
          <w:sz w:val="24"/>
          <w:szCs w:val="24"/>
          <w:rtl/>
        </w:rPr>
        <w:t xml:space="preserve"> </w:t>
      </w:r>
      <w:r>
        <w:rPr>
          <w:rFonts w:ascii="David" w:hAnsi="David" w:cs="David"/>
          <w:i/>
          <w:iCs/>
          <w:sz w:val="24"/>
          <w:szCs w:val="24"/>
          <w:rtl/>
        </w:rPr>
        <w:t>עכד"ק.</w:t>
      </w:r>
      <w:r>
        <w:rPr>
          <w:rFonts w:ascii="David" w:hAnsi="David" w:cs="David"/>
          <w:sz w:val="24"/>
          <w:szCs w:val="24"/>
          <w:rtl/>
        </w:rPr>
        <w:t xml:space="preserve">" </w:t>
      </w:r>
    </w:p>
    <w:p w:rsidR="00AD7A83" w:rsidRDefault="00AD7A83" w:rsidP="00851857">
      <w:pPr>
        <w:pStyle w:val="ad"/>
        <w:spacing w:after="0" w:line="360" w:lineRule="auto"/>
        <w:jc w:val="both"/>
        <w:rPr>
          <w:rFonts w:ascii="David" w:hAnsi="David" w:cs="David"/>
          <w:sz w:val="24"/>
          <w:szCs w:val="24"/>
          <w:rtl/>
        </w:rPr>
      </w:pPr>
    </w:p>
    <w:p w:rsidR="00AD7A83" w:rsidRDefault="00AD7A83" w:rsidP="00A65B57">
      <w:pPr>
        <w:pStyle w:val="ad"/>
        <w:spacing w:after="0" w:line="360" w:lineRule="auto"/>
        <w:jc w:val="both"/>
        <w:rPr>
          <w:rFonts w:ascii="David" w:hAnsi="David" w:cs="David"/>
          <w:sz w:val="24"/>
          <w:szCs w:val="24"/>
          <w:rtl/>
        </w:rPr>
      </w:pPr>
      <w:r>
        <w:rPr>
          <w:rFonts w:ascii="David" w:hAnsi="David" w:cs="David"/>
          <w:sz w:val="24"/>
          <w:szCs w:val="24"/>
          <w:rtl/>
        </w:rPr>
        <w:t>קרי, גם על פי הדין העברי, ניתן להסיק אודות גדרי הסכמות הצדדים בהתאם לאומד דעתם. אשר על כן, ובדומה לכך שהמוכר נכס על דעת לעלות לארץ ישראל (כפי הנדון שם וכאן) סובר הד</w:t>
      </w:r>
      <w:r w:rsidR="00851857">
        <w:rPr>
          <w:rFonts w:ascii="David" w:hAnsi="David" w:cs="David"/>
          <w:sz w:val="24"/>
          <w:szCs w:val="24"/>
          <w:rtl/>
        </w:rPr>
        <w:t xml:space="preserve">ין העברי </w:t>
      </w:r>
      <w:r w:rsidR="00851857">
        <w:rPr>
          <w:rFonts w:ascii="David" w:hAnsi="David" w:cs="David" w:hint="cs"/>
          <w:sz w:val="24"/>
          <w:szCs w:val="24"/>
          <w:rtl/>
        </w:rPr>
        <w:t>ש</w:t>
      </w:r>
      <w:r>
        <w:rPr>
          <w:rFonts w:ascii="David" w:hAnsi="David" w:cs="David"/>
          <w:sz w:val="24"/>
          <w:szCs w:val="24"/>
          <w:rtl/>
        </w:rPr>
        <w:t>יש לבחון נסיבות ההסכמה למכור את הנכס וכי יש לנסיבות אלה כדי להסיק שכלולו של חוזה בין הצדדים או ביטולו</w:t>
      </w:r>
      <w:r w:rsidR="00851857">
        <w:rPr>
          <w:rFonts w:ascii="David" w:hAnsi="David" w:cs="David" w:hint="cs"/>
          <w:sz w:val="24"/>
          <w:szCs w:val="24"/>
          <w:rtl/>
        </w:rPr>
        <w:t xml:space="preserve">, הרי שגם בענייננו, </w:t>
      </w:r>
      <w:r w:rsidR="00A65B57">
        <w:rPr>
          <w:rFonts w:ascii="David" w:hAnsi="David" w:cs="David" w:hint="cs"/>
          <w:sz w:val="24"/>
          <w:szCs w:val="24"/>
          <w:rtl/>
        </w:rPr>
        <w:t xml:space="preserve">אחר </w:t>
      </w:r>
      <w:r w:rsidR="00851857">
        <w:rPr>
          <w:rFonts w:ascii="David" w:hAnsi="David" w:cs="David" w:hint="cs"/>
          <w:sz w:val="24"/>
          <w:szCs w:val="24"/>
          <w:rtl/>
        </w:rPr>
        <w:t xml:space="preserve">בחינת אומד דעתם של הצדדים מתוך הנסיבות בפועל, לצד אינדיקציות נוספות ועדויות של צדדי ג' </w:t>
      </w:r>
      <w:r w:rsidR="00A65B57">
        <w:rPr>
          <w:rFonts w:ascii="David" w:hAnsi="David" w:cs="David" w:hint="cs"/>
          <w:sz w:val="24"/>
          <w:szCs w:val="24"/>
          <w:rtl/>
        </w:rPr>
        <w:t>הגעתי</w:t>
      </w:r>
      <w:r w:rsidR="00851857">
        <w:rPr>
          <w:rFonts w:ascii="David" w:hAnsi="David" w:cs="David" w:hint="cs"/>
          <w:sz w:val="24"/>
          <w:szCs w:val="24"/>
          <w:rtl/>
        </w:rPr>
        <w:t xml:space="preserve"> לכלל מסקנה כי במעשיו או במחדלו נתן האב הסכמה להישארות הקטינים בישראל</w:t>
      </w:r>
      <w:r>
        <w:rPr>
          <w:rFonts w:ascii="David" w:hAnsi="David" w:cs="David"/>
          <w:sz w:val="24"/>
          <w:szCs w:val="24"/>
          <w:rtl/>
        </w:rPr>
        <w:t>.</w:t>
      </w:r>
    </w:p>
    <w:p w:rsidR="00AD7A83" w:rsidRDefault="00AD7A83" w:rsidP="00851857">
      <w:pPr>
        <w:pStyle w:val="ad"/>
        <w:spacing w:after="0" w:line="360" w:lineRule="auto"/>
        <w:jc w:val="both"/>
        <w:rPr>
          <w:rFonts w:ascii="David" w:hAnsi="David" w:cs="David"/>
          <w:sz w:val="24"/>
          <w:szCs w:val="24"/>
          <w:rtl/>
        </w:rPr>
      </w:pPr>
    </w:p>
    <w:p w:rsidR="00AD7A83" w:rsidRDefault="00AD7A83" w:rsidP="00AE777A">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כפי שנלמד מע</w:t>
      </w:r>
      <w:r w:rsidR="00B6130E">
        <w:rPr>
          <w:rFonts w:ascii="David" w:hAnsi="David" w:cs="David"/>
          <w:sz w:val="24"/>
          <w:szCs w:val="24"/>
          <w:rtl/>
        </w:rPr>
        <w:t>דותו של האב, סבר האחרון, כי ל</w:t>
      </w:r>
      <w:r w:rsidR="00B6130E">
        <w:rPr>
          <w:rFonts w:ascii="David" w:hAnsi="David" w:cs="David" w:hint="cs"/>
          <w:sz w:val="24"/>
          <w:szCs w:val="24"/>
          <w:rtl/>
        </w:rPr>
        <w:t>לא</w:t>
      </w:r>
      <w:r w:rsidR="00AE777A">
        <w:rPr>
          <w:rFonts w:ascii="David" w:hAnsi="David" w:cs="David"/>
          <w:sz w:val="24"/>
          <w:szCs w:val="24"/>
          <w:rtl/>
        </w:rPr>
        <w:t xml:space="preserve"> חתימ</w:t>
      </w:r>
      <w:r w:rsidR="00AE777A">
        <w:rPr>
          <w:rFonts w:ascii="David" w:hAnsi="David" w:cs="David" w:hint="cs"/>
          <w:sz w:val="24"/>
          <w:szCs w:val="24"/>
          <w:rtl/>
        </w:rPr>
        <w:t>ה</w:t>
      </w:r>
      <w:r>
        <w:rPr>
          <w:rFonts w:ascii="David" w:hAnsi="David" w:cs="David"/>
          <w:sz w:val="24"/>
          <w:szCs w:val="24"/>
          <w:rtl/>
        </w:rPr>
        <w:t xml:space="preserve"> פיזית </w:t>
      </w:r>
      <w:r w:rsidR="00AE777A">
        <w:rPr>
          <w:rFonts w:ascii="David" w:hAnsi="David" w:cs="David" w:hint="cs"/>
          <w:sz w:val="24"/>
          <w:szCs w:val="24"/>
          <w:rtl/>
        </w:rPr>
        <w:t xml:space="preserve">המאשר הסכמתו, </w:t>
      </w:r>
      <w:r>
        <w:rPr>
          <w:rFonts w:ascii="David" w:hAnsi="David" w:cs="David"/>
          <w:sz w:val="24"/>
          <w:szCs w:val="24"/>
          <w:rtl/>
        </w:rPr>
        <w:t xml:space="preserve">הוא יוכל לחזור </w:t>
      </w:r>
      <w:r w:rsidR="00AE777A">
        <w:rPr>
          <w:rFonts w:ascii="David" w:hAnsi="David" w:cs="David" w:hint="cs"/>
          <w:sz w:val="24"/>
          <w:szCs w:val="24"/>
          <w:rtl/>
        </w:rPr>
        <w:t xml:space="preserve">בו </w:t>
      </w:r>
      <w:r>
        <w:rPr>
          <w:rFonts w:ascii="David" w:hAnsi="David" w:cs="David"/>
          <w:sz w:val="24"/>
          <w:szCs w:val="24"/>
          <w:rtl/>
        </w:rPr>
        <w:t>מהסכמתו או מהשלמתו, אך טעות בידו. הסכמתו של האב הייתה ברורה ובאה לידי ביטוי בעל פה</w:t>
      </w:r>
      <w:r w:rsidR="00AE777A">
        <w:rPr>
          <w:rFonts w:ascii="David" w:hAnsi="David" w:cs="David" w:hint="cs"/>
          <w:sz w:val="24"/>
          <w:szCs w:val="24"/>
          <w:rtl/>
        </w:rPr>
        <w:t>,</w:t>
      </w:r>
      <w:r>
        <w:rPr>
          <w:rFonts w:ascii="David" w:hAnsi="David" w:cs="David"/>
          <w:sz w:val="24"/>
          <w:szCs w:val="24"/>
          <w:rtl/>
        </w:rPr>
        <w:t xml:space="preserve"> </w:t>
      </w:r>
      <w:r w:rsidR="00AE777A">
        <w:rPr>
          <w:rFonts w:ascii="David" w:hAnsi="David" w:cs="David" w:hint="cs"/>
          <w:sz w:val="24"/>
          <w:szCs w:val="24"/>
          <w:rtl/>
        </w:rPr>
        <w:t xml:space="preserve">במעשה או במחדל, </w:t>
      </w:r>
      <w:r w:rsidR="00AE777A">
        <w:rPr>
          <w:rFonts w:ascii="David" w:hAnsi="David" w:cs="David"/>
          <w:sz w:val="24"/>
          <w:szCs w:val="24"/>
          <w:rtl/>
        </w:rPr>
        <w:t>באופן מובהק, עד כדי ש</w:t>
      </w:r>
      <w:r w:rsidR="00AE777A">
        <w:rPr>
          <w:rFonts w:ascii="David" w:hAnsi="David" w:cs="David" w:hint="cs"/>
          <w:sz w:val="24"/>
          <w:szCs w:val="24"/>
          <w:rtl/>
        </w:rPr>
        <w:t>ה</w:t>
      </w:r>
      <w:r w:rsidR="003E71D3">
        <w:rPr>
          <w:rFonts w:ascii="David" w:hAnsi="David" w:cs="David" w:hint="cs"/>
          <w:sz w:val="24"/>
          <w:szCs w:val="24"/>
          <w:rtl/>
        </w:rPr>
        <w:t>ע</w:t>
      </w:r>
      <w:r w:rsidR="00AE777A">
        <w:rPr>
          <w:rFonts w:ascii="David" w:hAnsi="David" w:cs="David" w:hint="cs"/>
          <w:sz w:val="24"/>
          <w:szCs w:val="24"/>
          <w:rtl/>
        </w:rPr>
        <w:t>דרה של</w:t>
      </w:r>
      <w:r w:rsidR="00AE777A">
        <w:rPr>
          <w:rFonts w:ascii="David" w:hAnsi="David" w:cs="David"/>
          <w:sz w:val="24"/>
          <w:szCs w:val="24"/>
          <w:rtl/>
        </w:rPr>
        <w:t xml:space="preserve"> </w:t>
      </w:r>
      <w:r>
        <w:rPr>
          <w:rFonts w:ascii="David" w:hAnsi="David" w:cs="David"/>
          <w:sz w:val="24"/>
          <w:szCs w:val="24"/>
          <w:rtl/>
        </w:rPr>
        <w:t>חתימה על הסכם, אינה יכולה להקהות את הסכמתו</w:t>
      </w:r>
      <w:r w:rsidR="00AE777A">
        <w:rPr>
          <w:rFonts w:ascii="David" w:hAnsi="David" w:cs="David" w:hint="cs"/>
          <w:sz w:val="24"/>
          <w:szCs w:val="24"/>
          <w:rtl/>
        </w:rPr>
        <w:t xml:space="preserve"> זו</w:t>
      </w:r>
      <w:r>
        <w:rPr>
          <w:rFonts w:ascii="David" w:hAnsi="David" w:cs="David"/>
          <w:sz w:val="24"/>
          <w:szCs w:val="24"/>
          <w:rtl/>
        </w:rPr>
        <w:t>.</w:t>
      </w:r>
    </w:p>
    <w:p w:rsidR="0066327D" w:rsidRPr="00AE777A" w:rsidRDefault="0066327D" w:rsidP="0066327D">
      <w:pPr>
        <w:pStyle w:val="ad"/>
        <w:spacing w:after="0" w:line="360" w:lineRule="auto"/>
        <w:jc w:val="both"/>
        <w:rPr>
          <w:rFonts w:ascii="David" w:hAnsi="David" w:cs="David"/>
          <w:sz w:val="24"/>
          <w:szCs w:val="24"/>
        </w:rPr>
      </w:pPr>
    </w:p>
    <w:p w:rsidR="00AE777A" w:rsidRDefault="00AD7A83" w:rsidP="00AE777A">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עוד למדתי</w:t>
      </w:r>
      <w:r w:rsidR="00AE777A">
        <w:rPr>
          <w:rFonts w:ascii="David" w:hAnsi="David" w:cs="David"/>
          <w:sz w:val="24"/>
          <w:szCs w:val="24"/>
          <w:rtl/>
        </w:rPr>
        <w:t xml:space="preserve"> מהעדויות כי שליחיו של האב </w:t>
      </w:r>
      <w:r w:rsidR="00AE777A">
        <w:rPr>
          <w:rFonts w:ascii="David" w:hAnsi="David" w:cs="David" w:hint="cs"/>
          <w:sz w:val="24"/>
          <w:szCs w:val="24"/>
          <w:rtl/>
        </w:rPr>
        <w:t>נתנו</w:t>
      </w:r>
      <w:r>
        <w:rPr>
          <w:rFonts w:ascii="David" w:hAnsi="David" w:cs="David"/>
          <w:sz w:val="24"/>
          <w:szCs w:val="24"/>
          <w:rtl/>
        </w:rPr>
        <w:t xml:space="preserve"> </w:t>
      </w:r>
      <w:r w:rsidR="00AE777A">
        <w:rPr>
          <w:rFonts w:ascii="David" w:hAnsi="David" w:cs="David" w:hint="cs"/>
          <w:sz w:val="24"/>
          <w:szCs w:val="24"/>
          <w:rtl/>
        </w:rPr>
        <w:t>בשמו</w:t>
      </w:r>
      <w:r>
        <w:rPr>
          <w:rFonts w:ascii="David" w:hAnsi="David" w:cs="David"/>
          <w:sz w:val="24"/>
          <w:szCs w:val="24"/>
          <w:rtl/>
        </w:rPr>
        <w:t xml:space="preserve"> הסכמה מפורשת בדבר הישארותם של הקטינים בישראל, ו</w:t>
      </w:r>
      <w:r w:rsidR="00AE777A">
        <w:rPr>
          <w:rFonts w:ascii="David" w:hAnsi="David" w:cs="David"/>
          <w:sz w:val="24"/>
          <w:szCs w:val="24"/>
          <w:rtl/>
        </w:rPr>
        <w:t>על הסכמה זו התבססו יתר ה</w:t>
      </w:r>
      <w:r w:rsidR="00AE777A">
        <w:rPr>
          <w:rFonts w:ascii="David" w:hAnsi="David" w:cs="David" w:hint="cs"/>
          <w:sz w:val="24"/>
          <w:szCs w:val="24"/>
          <w:rtl/>
        </w:rPr>
        <w:t>הסכמות</w:t>
      </w:r>
      <w:r>
        <w:rPr>
          <w:rFonts w:ascii="David" w:hAnsi="David" w:cs="David"/>
          <w:sz w:val="24"/>
          <w:szCs w:val="24"/>
          <w:rtl/>
        </w:rPr>
        <w:t xml:space="preserve"> הכרוכות בגירושין, לרבות דמי המזונות המופחתים, על פי המקובל ב</w:t>
      </w:r>
      <w:r w:rsidR="006A2169">
        <w:rPr>
          <w:rFonts w:ascii="David" w:hAnsi="David" w:cs="David" w:hint="cs"/>
          <w:sz w:val="24"/>
          <w:szCs w:val="24"/>
          <w:rtl/>
        </w:rPr>
        <w:t>ארה"ב,</w:t>
      </w:r>
      <w:r>
        <w:rPr>
          <w:rFonts w:ascii="David" w:hAnsi="David" w:cs="David"/>
          <w:sz w:val="24"/>
          <w:szCs w:val="24"/>
          <w:rtl/>
        </w:rPr>
        <w:t xml:space="preserve"> לצד הוצאות חינוך פחותות מאלה המשולמות ב</w:t>
      </w:r>
      <w:r w:rsidR="006A2169">
        <w:rPr>
          <w:rFonts w:ascii="David" w:hAnsi="David" w:cs="David" w:hint="cs"/>
          <w:sz w:val="24"/>
          <w:szCs w:val="24"/>
          <w:rtl/>
        </w:rPr>
        <w:t>ארה"ב</w:t>
      </w:r>
      <w:r>
        <w:rPr>
          <w:rFonts w:ascii="David" w:hAnsi="David" w:cs="David"/>
          <w:sz w:val="24"/>
          <w:szCs w:val="24"/>
          <w:rtl/>
        </w:rPr>
        <w:t>, שכן הסכמותיהם כללו הסכמה מפורשת כי הקטינים יתחנכו בישראל.</w:t>
      </w:r>
    </w:p>
    <w:p w:rsidR="00AE777A" w:rsidRDefault="00AE777A" w:rsidP="00AE777A">
      <w:pPr>
        <w:pStyle w:val="ad"/>
        <w:spacing w:after="0" w:line="360" w:lineRule="auto"/>
        <w:jc w:val="both"/>
        <w:rPr>
          <w:rFonts w:ascii="David" w:hAnsi="David" w:cs="David"/>
          <w:sz w:val="24"/>
          <w:szCs w:val="24"/>
        </w:rPr>
      </w:pPr>
    </w:p>
    <w:p w:rsidR="00AD7A83" w:rsidRDefault="0066327D" w:rsidP="00E50C4C">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הנה</w:t>
      </w:r>
      <w:r w:rsidR="005933FD">
        <w:rPr>
          <w:rFonts w:ascii="David" w:hAnsi="David" w:cs="David" w:hint="cs"/>
          <w:sz w:val="24"/>
          <w:szCs w:val="24"/>
          <w:rtl/>
        </w:rPr>
        <w:t xml:space="preserve"> וכפי שקבע </w:t>
      </w:r>
      <w:r w:rsidR="005933FD" w:rsidRPr="005933FD">
        <w:rPr>
          <w:rFonts w:ascii="David" w:hAnsi="David" w:cs="David"/>
          <w:sz w:val="24"/>
          <w:szCs w:val="24"/>
          <w:rtl/>
        </w:rPr>
        <w:t xml:space="preserve">המשנה לנשיא, כב' השופט מ' אלון </w:t>
      </w:r>
      <w:r w:rsidR="005933FD">
        <w:rPr>
          <w:rFonts w:ascii="David" w:hAnsi="David" w:cs="David" w:hint="cs"/>
          <w:sz w:val="24"/>
          <w:szCs w:val="24"/>
          <w:rtl/>
        </w:rPr>
        <w:t xml:space="preserve">בעניין ליבוביץ (ראו: ציטוט לעיל) האב, </w:t>
      </w:r>
      <w:r w:rsidR="005933FD" w:rsidRPr="005933FD">
        <w:rPr>
          <w:rFonts w:ascii="David" w:hAnsi="David" w:cs="David"/>
          <w:sz w:val="24"/>
          <w:szCs w:val="24"/>
          <w:rtl/>
        </w:rPr>
        <w:t>ש</w:t>
      </w:r>
      <w:r w:rsidR="005933FD">
        <w:rPr>
          <w:rFonts w:ascii="David" w:hAnsi="David" w:cs="David" w:hint="cs"/>
          <w:sz w:val="24"/>
          <w:szCs w:val="24"/>
          <w:rtl/>
        </w:rPr>
        <w:t>ילדיו</w:t>
      </w:r>
      <w:r w:rsidR="005933FD" w:rsidRPr="005933FD">
        <w:rPr>
          <w:rFonts w:ascii="David" w:hAnsi="David" w:cs="David"/>
          <w:sz w:val="24"/>
          <w:szCs w:val="24"/>
          <w:rtl/>
        </w:rPr>
        <w:t xml:space="preserve"> הורחק</w:t>
      </w:r>
      <w:r w:rsidR="005933FD">
        <w:rPr>
          <w:rFonts w:ascii="David" w:hAnsi="David" w:cs="David" w:hint="cs"/>
          <w:sz w:val="24"/>
          <w:szCs w:val="24"/>
          <w:rtl/>
        </w:rPr>
        <w:t>ו</w:t>
      </w:r>
      <w:r w:rsidR="005933FD">
        <w:rPr>
          <w:rFonts w:ascii="David" w:hAnsi="David" w:cs="David"/>
          <w:sz w:val="24"/>
          <w:szCs w:val="24"/>
          <w:rtl/>
        </w:rPr>
        <w:t xml:space="preserve"> ממקום מגורי</w:t>
      </w:r>
      <w:r w:rsidR="005933FD">
        <w:rPr>
          <w:rFonts w:ascii="David" w:hAnsi="David" w:cs="David" w:hint="cs"/>
          <w:sz w:val="24"/>
          <w:szCs w:val="24"/>
          <w:rtl/>
        </w:rPr>
        <w:t>הם</w:t>
      </w:r>
      <w:r>
        <w:rPr>
          <w:rFonts w:ascii="David" w:hAnsi="David" w:cs="David" w:hint="cs"/>
          <w:sz w:val="24"/>
          <w:szCs w:val="24"/>
          <w:rtl/>
        </w:rPr>
        <w:t xml:space="preserve"> הרגיל</w:t>
      </w:r>
      <w:r w:rsidR="005933FD">
        <w:rPr>
          <w:rFonts w:ascii="David" w:hAnsi="David" w:cs="David" w:hint="cs"/>
          <w:sz w:val="24"/>
          <w:szCs w:val="24"/>
          <w:rtl/>
        </w:rPr>
        <w:t>,</w:t>
      </w:r>
      <w:r w:rsidR="005933FD" w:rsidRPr="005933FD">
        <w:rPr>
          <w:rFonts w:ascii="David" w:hAnsi="David" w:cs="David"/>
          <w:sz w:val="24"/>
          <w:szCs w:val="24"/>
          <w:rtl/>
        </w:rPr>
        <w:t xml:space="preserve"> </w:t>
      </w:r>
      <w:r w:rsidR="005933FD">
        <w:rPr>
          <w:rFonts w:ascii="David" w:hAnsi="David" w:cs="David" w:hint="cs"/>
          <w:sz w:val="24"/>
          <w:szCs w:val="24"/>
          <w:rtl/>
        </w:rPr>
        <w:t xml:space="preserve">הודה </w:t>
      </w:r>
      <w:r w:rsidR="00E50C4C">
        <w:rPr>
          <w:rFonts w:ascii="David" w:hAnsi="David" w:cs="David" w:hint="cs"/>
          <w:sz w:val="24"/>
          <w:szCs w:val="24"/>
          <w:rtl/>
        </w:rPr>
        <w:t xml:space="preserve">בין </w:t>
      </w:r>
      <w:r>
        <w:rPr>
          <w:rFonts w:ascii="David" w:hAnsi="David" w:cs="David" w:hint="cs"/>
          <w:sz w:val="24"/>
          <w:szCs w:val="24"/>
          <w:rtl/>
        </w:rPr>
        <w:t>בעצמו ו</w:t>
      </w:r>
      <w:r w:rsidR="00E50C4C">
        <w:rPr>
          <w:rFonts w:ascii="David" w:hAnsi="David" w:cs="David" w:hint="cs"/>
          <w:sz w:val="24"/>
          <w:szCs w:val="24"/>
          <w:rtl/>
        </w:rPr>
        <w:t xml:space="preserve">בין </w:t>
      </w:r>
      <w:r>
        <w:rPr>
          <w:rFonts w:ascii="David" w:hAnsi="David" w:cs="David" w:hint="cs"/>
          <w:sz w:val="24"/>
          <w:szCs w:val="24"/>
          <w:rtl/>
        </w:rPr>
        <w:t xml:space="preserve">באמצעות בא כוחו </w:t>
      </w:r>
      <w:r w:rsidR="005933FD">
        <w:rPr>
          <w:rFonts w:ascii="David" w:hAnsi="David" w:cs="David" w:hint="cs"/>
          <w:sz w:val="24"/>
          <w:szCs w:val="24"/>
          <w:rtl/>
        </w:rPr>
        <w:t xml:space="preserve">כי הוא </w:t>
      </w:r>
      <w:r w:rsidR="005933FD" w:rsidRPr="005933FD">
        <w:rPr>
          <w:rFonts w:ascii="David" w:hAnsi="David" w:cs="David"/>
          <w:sz w:val="24"/>
          <w:szCs w:val="24"/>
          <w:rtl/>
        </w:rPr>
        <w:t>מעדיף לטפל בעניין בדרך שונה מה</w:t>
      </w:r>
      <w:r>
        <w:rPr>
          <w:rFonts w:ascii="David" w:hAnsi="David" w:cs="David"/>
          <w:sz w:val="24"/>
          <w:szCs w:val="24"/>
          <w:rtl/>
        </w:rPr>
        <w:t>חזר</w:t>
      </w:r>
      <w:r>
        <w:rPr>
          <w:rFonts w:ascii="David" w:hAnsi="David" w:cs="David" w:hint="cs"/>
          <w:sz w:val="24"/>
          <w:szCs w:val="24"/>
          <w:rtl/>
        </w:rPr>
        <w:t>תם</w:t>
      </w:r>
      <w:r w:rsidR="005933FD">
        <w:rPr>
          <w:rFonts w:ascii="David" w:hAnsi="David" w:cs="David"/>
          <w:sz w:val="24"/>
          <w:szCs w:val="24"/>
          <w:rtl/>
        </w:rPr>
        <w:t xml:space="preserve"> </w:t>
      </w:r>
      <w:r>
        <w:rPr>
          <w:rFonts w:ascii="David" w:hAnsi="David" w:cs="David" w:hint="cs"/>
          <w:sz w:val="24"/>
          <w:szCs w:val="24"/>
          <w:rtl/>
        </w:rPr>
        <w:t>ה</w:t>
      </w:r>
      <w:r w:rsidR="005933FD">
        <w:rPr>
          <w:rFonts w:ascii="David" w:hAnsi="David" w:cs="David"/>
          <w:sz w:val="24"/>
          <w:szCs w:val="24"/>
          <w:rtl/>
        </w:rPr>
        <w:t>מיידית</w:t>
      </w:r>
      <w:r>
        <w:rPr>
          <w:rFonts w:ascii="David" w:hAnsi="David" w:cs="David" w:hint="cs"/>
          <w:sz w:val="24"/>
          <w:szCs w:val="24"/>
          <w:rtl/>
        </w:rPr>
        <w:t xml:space="preserve"> של הקטינים</w:t>
      </w:r>
      <w:r w:rsidR="005933FD">
        <w:rPr>
          <w:rFonts w:ascii="David" w:hAnsi="David" w:cs="David"/>
          <w:sz w:val="24"/>
          <w:szCs w:val="24"/>
          <w:rtl/>
        </w:rPr>
        <w:t xml:space="preserve"> למקום המגורים הרגיל</w:t>
      </w:r>
      <w:r w:rsidR="005933FD">
        <w:rPr>
          <w:rFonts w:ascii="David" w:hAnsi="David" w:cs="David" w:hint="cs"/>
          <w:sz w:val="24"/>
          <w:szCs w:val="24"/>
          <w:rtl/>
        </w:rPr>
        <w:t>,</w:t>
      </w:r>
      <w:r>
        <w:rPr>
          <w:rFonts w:ascii="David" w:hAnsi="David" w:cs="David" w:hint="cs"/>
          <w:sz w:val="24"/>
          <w:szCs w:val="24"/>
          <w:rtl/>
        </w:rPr>
        <w:t xml:space="preserve"> תוך העדפה כי העניינים הכרוכים בגירושין יתבררו בישראל,</w:t>
      </w:r>
      <w:r w:rsidR="005933FD">
        <w:rPr>
          <w:rFonts w:ascii="David" w:hAnsi="David" w:cs="David" w:hint="cs"/>
          <w:sz w:val="24"/>
          <w:szCs w:val="24"/>
          <w:rtl/>
        </w:rPr>
        <w:t xml:space="preserve"> וכפי שאמר ב"כ בדיון </w:t>
      </w:r>
      <w:r>
        <w:rPr>
          <w:rFonts w:ascii="David" w:hAnsi="David" w:cs="David" w:hint="cs"/>
          <w:sz w:val="24"/>
          <w:szCs w:val="24"/>
          <w:rtl/>
        </w:rPr>
        <w:t>"</w:t>
      </w:r>
      <w:r w:rsidRPr="0066327D">
        <w:rPr>
          <w:rFonts w:ascii="David" w:hAnsi="David" w:cs="David"/>
          <w:b/>
          <w:bCs/>
          <w:i/>
          <w:iCs/>
          <w:sz w:val="24"/>
          <w:szCs w:val="24"/>
          <w:rtl/>
        </w:rPr>
        <w:t>תגמרו את נושא המזונות</w:t>
      </w:r>
      <w:r>
        <w:rPr>
          <w:rFonts w:ascii="David" w:hAnsi="David" w:cs="David" w:hint="cs"/>
          <w:sz w:val="24"/>
          <w:szCs w:val="24"/>
          <w:rtl/>
        </w:rPr>
        <w:t xml:space="preserve"> (בישראל. א.מ.)</w:t>
      </w:r>
      <w:r w:rsidRPr="0066327D">
        <w:rPr>
          <w:rFonts w:ascii="David" w:hAnsi="David" w:cs="David"/>
          <w:sz w:val="24"/>
          <w:szCs w:val="24"/>
          <w:rtl/>
        </w:rPr>
        <w:t xml:space="preserve"> </w:t>
      </w:r>
      <w:r w:rsidRPr="0066327D">
        <w:rPr>
          <w:rFonts w:ascii="David" w:hAnsi="David" w:cs="David"/>
          <w:b/>
          <w:bCs/>
          <w:i/>
          <w:iCs/>
          <w:sz w:val="24"/>
          <w:szCs w:val="24"/>
          <w:rtl/>
        </w:rPr>
        <w:t>כי באמריקה נושא המזונות מאוד יקר</w:t>
      </w:r>
      <w:r>
        <w:rPr>
          <w:rFonts w:ascii="David" w:hAnsi="David" w:cs="David" w:hint="cs"/>
          <w:sz w:val="24"/>
          <w:szCs w:val="24"/>
          <w:rtl/>
        </w:rPr>
        <w:t>" (עמ' 20, ש' 30 לפרוטוקול מיום 8.10.2024)</w:t>
      </w:r>
      <w:r w:rsidRPr="0066327D">
        <w:rPr>
          <w:rFonts w:ascii="David" w:hAnsi="David" w:cs="David"/>
          <w:sz w:val="24"/>
          <w:szCs w:val="24"/>
          <w:rtl/>
        </w:rPr>
        <w:t>,</w:t>
      </w:r>
      <w:r w:rsidR="005933FD" w:rsidRPr="005933FD">
        <w:rPr>
          <w:rFonts w:ascii="David" w:hAnsi="David" w:cs="David"/>
          <w:sz w:val="24"/>
          <w:szCs w:val="24"/>
          <w:rtl/>
        </w:rPr>
        <w:t xml:space="preserve"> </w:t>
      </w:r>
      <w:r w:rsidR="00E50C4C">
        <w:rPr>
          <w:rFonts w:ascii="David" w:hAnsi="David" w:cs="David" w:hint="cs"/>
          <w:sz w:val="24"/>
          <w:szCs w:val="24"/>
          <w:rtl/>
        </w:rPr>
        <w:t xml:space="preserve">ובכך </w:t>
      </w:r>
      <w:r w:rsidR="00E50C4C" w:rsidRPr="00E50C4C">
        <w:rPr>
          <w:rFonts w:ascii="David" w:hAnsi="David" w:cs="David"/>
          <w:sz w:val="24"/>
          <w:szCs w:val="24"/>
          <w:rtl/>
        </w:rPr>
        <w:t xml:space="preserve">השלים עם מעשה ההרחקה </w:t>
      </w:r>
      <w:r w:rsidR="00E50C4C">
        <w:rPr>
          <w:rFonts w:ascii="David" w:hAnsi="David" w:cs="David" w:hint="cs"/>
          <w:sz w:val="24"/>
          <w:szCs w:val="24"/>
          <w:rtl/>
        </w:rPr>
        <w:t xml:space="preserve">תוך שהוא מבטא בכך </w:t>
      </w:r>
      <w:r w:rsidR="00E50C4C" w:rsidRPr="00E50C4C">
        <w:rPr>
          <w:rFonts w:ascii="David" w:hAnsi="David" w:cs="David"/>
          <w:sz w:val="24"/>
          <w:szCs w:val="24"/>
          <w:rtl/>
        </w:rPr>
        <w:t>שאין במציאות שנוצרה כת</w:t>
      </w:r>
      <w:r w:rsidR="00E50C4C">
        <w:rPr>
          <w:rFonts w:ascii="David" w:hAnsi="David" w:cs="David"/>
          <w:sz w:val="24"/>
          <w:szCs w:val="24"/>
          <w:rtl/>
        </w:rPr>
        <w:t>וצאה מהרחקת הקטי</w:t>
      </w:r>
      <w:r w:rsidR="00E50C4C">
        <w:rPr>
          <w:rFonts w:ascii="David" w:hAnsi="David" w:cs="David" w:hint="cs"/>
          <w:sz w:val="24"/>
          <w:szCs w:val="24"/>
          <w:rtl/>
        </w:rPr>
        <w:t>נים</w:t>
      </w:r>
      <w:r w:rsidR="00E50C4C" w:rsidRPr="00E50C4C">
        <w:rPr>
          <w:rFonts w:ascii="David" w:hAnsi="David" w:cs="David"/>
          <w:sz w:val="24"/>
          <w:szCs w:val="24"/>
          <w:rtl/>
        </w:rPr>
        <w:t xml:space="preserve"> משום דחיפות ובהילות, המחייבות את הפעלת האמנה דווקא, לאלתר וללא דחייה</w:t>
      </w:r>
      <w:r w:rsidR="00E50C4C">
        <w:rPr>
          <w:rFonts w:ascii="David" w:hAnsi="David" w:cs="David" w:hint="cs"/>
          <w:sz w:val="24"/>
          <w:szCs w:val="24"/>
          <w:rtl/>
        </w:rPr>
        <w:t>.</w:t>
      </w:r>
    </w:p>
    <w:p w:rsidR="00E50C4C" w:rsidRPr="005933FD" w:rsidRDefault="00E50C4C" w:rsidP="00E50C4C">
      <w:pPr>
        <w:pStyle w:val="ad"/>
        <w:spacing w:line="360" w:lineRule="auto"/>
        <w:jc w:val="both"/>
        <w:rPr>
          <w:rFonts w:ascii="David" w:hAnsi="David" w:cs="David"/>
          <w:sz w:val="24"/>
          <w:szCs w:val="24"/>
        </w:rPr>
      </w:pPr>
      <w:r>
        <w:rPr>
          <w:rFonts w:ascii="David" w:hAnsi="David" w:cs="David" w:hint="cs"/>
          <w:sz w:val="24"/>
          <w:szCs w:val="24"/>
          <w:rtl/>
        </w:rPr>
        <w:t xml:space="preserve">לא מצאתי סבירות בטענה כי הצדדים ביקשו לנהל ענייניהם קרעים קרעים </w:t>
      </w:r>
      <w:r w:rsidR="006A2169">
        <w:rPr>
          <w:rFonts w:ascii="David" w:hAnsi="David" w:cs="David" w:hint="cs"/>
          <w:sz w:val="24"/>
          <w:szCs w:val="24"/>
          <w:rtl/>
        </w:rPr>
        <w:t xml:space="preserve">ובעוד דמי המזונות וחלוקת הדירה </w:t>
      </w:r>
      <w:r>
        <w:rPr>
          <w:rFonts w:ascii="David" w:hAnsi="David" w:cs="David" w:hint="cs"/>
          <w:sz w:val="24"/>
          <w:szCs w:val="24"/>
          <w:rtl/>
        </w:rPr>
        <w:t>הוסכמו, לא הוסכם עניין מקום מגוריהם הקבוע של הקטינים (ובמיוחד וכפי שקבעתי לעיל, ההסכמה בעניין רכישת חלקה של האם בדירה ורכישת דירה חלופית לאם בישראל, מלמדת על הסכמה בעניין מקום מגוריהם של הקטינים בישראל).</w:t>
      </w:r>
    </w:p>
    <w:p w:rsidR="00AD7A83" w:rsidRDefault="00AD7A83" w:rsidP="009863FF">
      <w:pPr>
        <w:pStyle w:val="ad"/>
        <w:spacing w:after="0" w:line="360" w:lineRule="auto"/>
        <w:jc w:val="both"/>
        <w:rPr>
          <w:rFonts w:ascii="David" w:hAnsi="David" w:cs="David"/>
          <w:sz w:val="24"/>
          <w:szCs w:val="24"/>
        </w:rPr>
      </w:pPr>
    </w:p>
    <w:p w:rsidR="00AD7A83" w:rsidRDefault="00AD7A83" w:rsidP="009863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ניסיונו של האב להרחיק עצמו מההסכמות שניתנו בשמו, בין אם על ידי המתווך ב</w:t>
      </w:r>
      <w:r w:rsidR="00F8253F">
        <w:rPr>
          <w:rFonts w:ascii="David" w:hAnsi="David" w:cs="David"/>
          <w:sz w:val="24"/>
          <w:szCs w:val="24"/>
          <w:rtl/>
        </w:rPr>
        <w:t>...</w:t>
      </w:r>
      <w:r>
        <w:rPr>
          <w:rFonts w:ascii="David" w:hAnsi="David" w:cs="David"/>
          <w:sz w:val="24"/>
          <w:szCs w:val="24"/>
          <w:rtl/>
        </w:rPr>
        <w:t xml:space="preserve"> (</w:t>
      </w:r>
      <w:r w:rsidR="0014143A">
        <w:rPr>
          <w:rFonts w:ascii="David" w:hAnsi="David" w:cs="David"/>
          <w:sz w:val="24"/>
          <w:szCs w:val="24"/>
          <w:rtl/>
        </w:rPr>
        <w:t>הרב ר'</w:t>
      </w:r>
      <w:r>
        <w:rPr>
          <w:rFonts w:ascii="David" w:hAnsi="David" w:cs="David"/>
          <w:sz w:val="24"/>
          <w:szCs w:val="24"/>
          <w:rtl/>
        </w:rPr>
        <w:t xml:space="preserve">) ובין אם באמצעות ב"כ הקודם (עו"ד סולומון) אינו יכול להתקבל, זאת לנוכח הוראות </w:t>
      </w:r>
      <w:r w:rsidRPr="00E50C4C">
        <w:rPr>
          <w:rFonts w:ascii="David" w:hAnsi="David" w:cs="David"/>
          <w:b/>
          <w:bCs/>
          <w:sz w:val="24"/>
          <w:szCs w:val="24"/>
          <w:rtl/>
        </w:rPr>
        <w:t>חוק השליחות</w:t>
      </w:r>
      <w:r w:rsidR="00E50C4C">
        <w:rPr>
          <w:rFonts w:ascii="David" w:hAnsi="David" w:cs="David"/>
          <w:sz w:val="24"/>
          <w:szCs w:val="24"/>
          <w:rtl/>
        </w:rPr>
        <w:t>, תשכ"ה-1965</w:t>
      </w:r>
      <w:r w:rsidR="00E50C4C">
        <w:rPr>
          <w:rFonts w:ascii="David" w:hAnsi="David" w:cs="David" w:hint="cs"/>
          <w:sz w:val="24"/>
          <w:szCs w:val="24"/>
          <w:rtl/>
        </w:rPr>
        <w:t>,</w:t>
      </w:r>
      <w:r>
        <w:rPr>
          <w:rFonts w:ascii="David" w:hAnsi="David" w:cs="David"/>
          <w:sz w:val="24"/>
          <w:szCs w:val="24"/>
          <w:rtl/>
        </w:rPr>
        <w:t xml:space="preserve"> הקובעות כי "</w:t>
      </w:r>
      <w:r w:rsidRPr="00E50C4C">
        <w:rPr>
          <w:rFonts w:ascii="David" w:hAnsi="David" w:cs="David"/>
          <w:b/>
          <w:bCs/>
          <w:i/>
          <w:iCs/>
          <w:sz w:val="24"/>
          <w:szCs w:val="24"/>
          <w:rtl/>
        </w:rPr>
        <w:t>שלוחו של אדם כמותו</w:t>
      </w:r>
      <w:r>
        <w:rPr>
          <w:rFonts w:ascii="David" w:hAnsi="David" w:cs="David"/>
          <w:sz w:val="24"/>
          <w:szCs w:val="24"/>
          <w:rtl/>
        </w:rPr>
        <w:t xml:space="preserve">" [ראו: דברי הר"ן, </w:t>
      </w:r>
      <w:r>
        <w:rPr>
          <w:rFonts w:ascii="David" w:hAnsi="David" w:cs="David"/>
          <w:sz w:val="24"/>
          <w:szCs w:val="24"/>
          <w:rtl/>
        </w:rPr>
        <w:lastRenderedPageBreak/>
        <w:t>בבלי, נדרים, עב: "</w:t>
      </w:r>
      <w:r>
        <w:rPr>
          <w:rFonts w:ascii="David" w:hAnsi="David" w:cs="David"/>
          <w:i/>
          <w:iCs/>
          <w:sz w:val="24"/>
          <w:szCs w:val="24"/>
          <w:rtl/>
        </w:rPr>
        <w:t>מצינו בכל התורה שלוחו של אדם כמותו. וכדילפינן בפ' האיש מקדש (קדושין מב.)</w:t>
      </w:r>
      <w:r>
        <w:rPr>
          <w:rFonts w:ascii="David" w:hAnsi="David" w:cs="David"/>
          <w:sz w:val="24"/>
          <w:szCs w:val="24"/>
          <w:rtl/>
        </w:rPr>
        <w:t xml:space="preserve">"] ולנוכח הוראות </w:t>
      </w:r>
      <w:r w:rsidRPr="00E50C4C">
        <w:rPr>
          <w:rFonts w:ascii="David" w:hAnsi="David" w:cs="David"/>
          <w:b/>
          <w:bCs/>
          <w:sz w:val="24"/>
          <w:szCs w:val="24"/>
          <w:rtl/>
        </w:rPr>
        <w:t>חוק לשכת עורכי הדין</w:t>
      </w:r>
      <w:r>
        <w:rPr>
          <w:rFonts w:ascii="David" w:hAnsi="David" w:cs="David"/>
          <w:sz w:val="24"/>
          <w:szCs w:val="24"/>
          <w:rtl/>
        </w:rPr>
        <w:t>, תשכ"א-1961</w:t>
      </w:r>
      <w:r w:rsidR="00E50C4C">
        <w:rPr>
          <w:rFonts w:ascii="David" w:hAnsi="David" w:cs="David" w:hint="cs"/>
          <w:sz w:val="24"/>
          <w:szCs w:val="24"/>
          <w:rtl/>
        </w:rPr>
        <w:t>,</w:t>
      </w:r>
      <w:r>
        <w:rPr>
          <w:rFonts w:ascii="David" w:hAnsi="David" w:cs="David"/>
          <w:sz w:val="24"/>
          <w:szCs w:val="24"/>
          <w:rtl/>
        </w:rPr>
        <w:t xml:space="preserve"> ולא מצאתי לקבל טענת האב לפיה מצויים אנו בגדרו של סעיף 6(א) לחוק השליחות.</w:t>
      </w:r>
    </w:p>
    <w:p w:rsidR="00AD7A83" w:rsidRDefault="00AD7A83" w:rsidP="009863FF">
      <w:pPr>
        <w:pStyle w:val="ad"/>
        <w:spacing w:after="0" w:line="360" w:lineRule="auto"/>
        <w:jc w:val="both"/>
        <w:rPr>
          <w:rFonts w:ascii="David" w:hAnsi="David" w:cs="David"/>
          <w:color w:val="000000" w:themeColor="text1"/>
          <w:sz w:val="24"/>
          <w:szCs w:val="24"/>
        </w:rPr>
      </w:pPr>
    </w:p>
    <w:p w:rsidR="00AD7A83" w:rsidRDefault="00AD7A83" w:rsidP="009863FF">
      <w:pPr>
        <w:pStyle w:val="ad"/>
        <w:numPr>
          <w:ilvl w:val="0"/>
          <w:numId w:val="1"/>
        </w:numPr>
        <w:spacing w:after="0" w:line="360" w:lineRule="auto"/>
        <w:jc w:val="both"/>
        <w:rPr>
          <w:rFonts w:ascii="David" w:hAnsi="David" w:cs="David"/>
          <w:color w:val="000000" w:themeColor="text1"/>
          <w:sz w:val="24"/>
          <w:szCs w:val="24"/>
        </w:rPr>
      </w:pPr>
      <w:r>
        <w:rPr>
          <w:rFonts w:ascii="David" w:hAnsi="David" w:cs="David"/>
          <w:color w:val="000000" w:themeColor="text1"/>
          <w:sz w:val="24"/>
          <w:szCs w:val="24"/>
          <w:rtl/>
        </w:rPr>
        <w:t>ההפך הוא הנכון, העובדה כי האב נמנע מהביא לעדות את מי שהצד שכנגד תפס כשליחיו, "</w:t>
      </w:r>
      <w:r w:rsidRPr="001B3823">
        <w:rPr>
          <w:rFonts w:ascii="David" w:hAnsi="David" w:cs="David"/>
          <w:i/>
          <w:iCs/>
          <w:color w:val="000000" w:themeColor="text1"/>
          <w:sz w:val="24"/>
          <w:szCs w:val="24"/>
          <w:rtl/>
        </w:rPr>
        <w:t>מעוררת, מדרך הטבע, את החשד, כי יש דברים בגו וכי בעל הדין, שנמנע מהבאתו, חושש מעדותו ומחשיפתו לחקירה שכנגד. אי-הבאת עד כזה יוצרת הנחה לרעת הצד שאמור היה להזמינו, לפיה עדותו הייתה עלולה לחזק את עמדת הצד שכנגד</w:t>
      </w:r>
      <w:r>
        <w:rPr>
          <w:rFonts w:ascii="David" w:hAnsi="David" w:cs="David"/>
          <w:color w:val="000000" w:themeColor="text1"/>
          <w:sz w:val="24"/>
          <w:szCs w:val="24"/>
          <w:rtl/>
        </w:rPr>
        <w:t xml:space="preserve">" ע"א 465/88 </w:t>
      </w:r>
      <w:r>
        <w:rPr>
          <w:rFonts w:ascii="David" w:hAnsi="David" w:cs="David"/>
          <w:b/>
          <w:bCs/>
          <w:color w:val="000000" w:themeColor="text1"/>
          <w:sz w:val="24"/>
          <w:szCs w:val="24"/>
          <w:rtl/>
        </w:rPr>
        <w:t>הבנק למימון ולסחר בע"מ נ' סלימה מתתיהו</w:t>
      </w:r>
      <w:r>
        <w:rPr>
          <w:rFonts w:ascii="David" w:hAnsi="David" w:cs="David"/>
          <w:color w:val="000000" w:themeColor="text1"/>
          <w:sz w:val="24"/>
          <w:szCs w:val="24"/>
          <w:rtl/>
        </w:rPr>
        <w:t>, מה(4) 651 (1991). האב לא סתר הנחה זו</w:t>
      </w:r>
      <w:r w:rsidR="001B3823">
        <w:rPr>
          <w:rFonts w:ascii="David" w:hAnsi="David" w:cs="David" w:hint="cs"/>
          <w:color w:val="000000" w:themeColor="text1"/>
          <w:sz w:val="24"/>
          <w:szCs w:val="24"/>
          <w:rtl/>
        </w:rPr>
        <w:t xml:space="preserve"> ועל כן מצאתי להסיק כי עדויותיהם של </w:t>
      </w:r>
      <w:r w:rsidR="0014143A">
        <w:rPr>
          <w:rFonts w:ascii="David" w:hAnsi="David" w:cs="David" w:hint="cs"/>
          <w:color w:val="000000" w:themeColor="text1"/>
          <w:sz w:val="24"/>
          <w:szCs w:val="24"/>
          <w:rtl/>
        </w:rPr>
        <w:t>הרב ר</w:t>
      </w:r>
      <w:r w:rsidR="0014143A">
        <w:rPr>
          <w:rFonts w:ascii="David" w:hAnsi="David" w:cs="David"/>
          <w:color w:val="000000" w:themeColor="text1"/>
          <w:sz w:val="24"/>
          <w:szCs w:val="24"/>
          <w:rtl/>
        </w:rPr>
        <w:t>'</w:t>
      </w:r>
      <w:r w:rsidR="001B3823">
        <w:rPr>
          <w:rFonts w:ascii="David" w:hAnsi="David" w:cs="David" w:hint="cs"/>
          <w:color w:val="000000" w:themeColor="text1"/>
          <w:sz w:val="24"/>
          <w:szCs w:val="24"/>
          <w:rtl/>
        </w:rPr>
        <w:t xml:space="preserve"> או עו"ד סולומון, היו מאמתים טענות האם בעניין גדרי ההסכמות, שכללו גם הסכמה בעניין הישארות הקטינים בישראל</w:t>
      </w:r>
      <w:r>
        <w:rPr>
          <w:rFonts w:ascii="David" w:hAnsi="David" w:cs="David"/>
          <w:color w:val="000000" w:themeColor="text1"/>
          <w:sz w:val="24"/>
          <w:szCs w:val="24"/>
          <w:rtl/>
        </w:rPr>
        <w:t>.</w:t>
      </w:r>
    </w:p>
    <w:p w:rsidR="00AD7A83" w:rsidRPr="001B3823" w:rsidRDefault="00AD7A83" w:rsidP="009863FF">
      <w:pPr>
        <w:pStyle w:val="ad"/>
        <w:spacing w:after="0" w:line="360" w:lineRule="auto"/>
        <w:jc w:val="both"/>
        <w:rPr>
          <w:rFonts w:ascii="David" w:hAnsi="David" w:cs="David"/>
          <w:color w:val="000000" w:themeColor="text1"/>
          <w:sz w:val="24"/>
          <w:szCs w:val="24"/>
        </w:rPr>
      </w:pPr>
    </w:p>
    <w:p w:rsidR="00AD7A83" w:rsidRDefault="00AD7A83" w:rsidP="009863FF">
      <w:pPr>
        <w:pStyle w:val="ad"/>
        <w:numPr>
          <w:ilvl w:val="0"/>
          <w:numId w:val="1"/>
        </w:numPr>
        <w:spacing w:after="0" w:line="360" w:lineRule="auto"/>
        <w:jc w:val="both"/>
        <w:rPr>
          <w:rFonts w:ascii="David" w:hAnsi="David" w:cs="David"/>
          <w:color w:val="000000" w:themeColor="text1"/>
          <w:sz w:val="24"/>
          <w:szCs w:val="24"/>
        </w:rPr>
      </w:pPr>
      <w:r>
        <w:rPr>
          <w:rFonts w:ascii="David" w:hAnsi="David" w:cs="David"/>
          <w:color w:val="000000" w:themeColor="text1"/>
          <w:sz w:val="24"/>
          <w:szCs w:val="24"/>
          <w:rtl/>
        </w:rPr>
        <w:t>כפי שנלמד מעדותו של צד ג', שאינו נוגע בדבר (</w:t>
      </w:r>
      <w:r w:rsidR="0014143A">
        <w:rPr>
          <w:rFonts w:ascii="David" w:hAnsi="David" w:cs="David"/>
          <w:color w:val="000000" w:themeColor="text1"/>
          <w:sz w:val="24"/>
          <w:szCs w:val="24"/>
          <w:rtl/>
        </w:rPr>
        <w:t>הרב א'</w:t>
      </w:r>
      <w:r>
        <w:rPr>
          <w:rFonts w:ascii="David" w:hAnsi="David" w:cs="David"/>
          <w:color w:val="000000" w:themeColor="text1"/>
          <w:sz w:val="24"/>
          <w:szCs w:val="24"/>
          <w:rtl/>
        </w:rPr>
        <w:t xml:space="preserve">) כל ההסכמות היו על דעת האב ואף הוכח (לדברי האב עצמו) כי הוא זה שיזם את הפניה לצד שכנגד </w:t>
      </w:r>
      <w:r w:rsidR="001B3823">
        <w:rPr>
          <w:rFonts w:ascii="David" w:hAnsi="David" w:cs="David" w:hint="cs"/>
          <w:color w:val="000000" w:themeColor="text1"/>
          <w:sz w:val="24"/>
          <w:szCs w:val="24"/>
          <w:rtl/>
        </w:rPr>
        <w:t xml:space="preserve">(ראו עדותו שצוטטה לעיל) </w:t>
      </w:r>
      <w:r>
        <w:rPr>
          <w:rFonts w:ascii="David" w:hAnsi="David" w:cs="David"/>
          <w:color w:val="000000" w:themeColor="text1"/>
          <w:sz w:val="24"/>
          <w:szCs w:val="24"/>
          <w:rtl/>
        </w:rPr>
        <w:t>וה</w:t>
      </w:r>
      <w:r w:rsidR="001B3823">
        <w:rPr>
          <w:rFonts w:ascii="David" w:hAnsi="David" w:cs="David"/>
          <w:color w:val="000000" w:themeColor="text1"/>
          <w:sz w:val="24"/>
          <w:szCs w:val="24"/>
          <w:rtl/>
        </w:rPr>
        <w:t xml:space="preserve">וא זה שבשמו הוצגו הסכמות </w:t>
      </w:r>
      <w:r w:rsidR="001B3823">
        <w:rPr>
          <w:rFonts w:ascii="David" w:hAnsi="David" w:cs="David" w:hint="cs"/>
          <w:color w:val="000000" w:themeColor="text1"/>
          <w:sz w:val="24"/>
          <w:szCs w:val="24"/>
          <w:rtl/>
        </w:rPr>
        <w:t>שכללו</w:t>
      </w:r>
      <w:r>
        <w:rPr>
          <w:rFonts w:ascii="David" w:hAnsi="David" w:cs="David"/>
          <w:color w:val="000000" w:themeColor="text1"/>
          <w:sz w:val="24"/>
          <w:szCs w:val="24"/>
          <w:rtl/>
        </w:rPr>
        <w:t xml:space="preserve"> המשך מגורי האם והקטינים בישראל.</w:t>
      </w:r>
    </w:p>
    <w:p w:rsidR="00381253" w:rsidRDefault="00381253" w:rsidP="009863FF">
      <w:pPr>
        <w:pStyle w:val="ad"/>
        <w:spacing w:after="0" w:line="360" w:lineRule="auto"/>
        <w:jc w:val="both"/>
        <w:rPr>
          <w:rFonts w:ascii="David" w:hAnsi="David" w:cs="David"/>
          <w:color w:val="000000" w:themeColor="text1"/>
          <w:sz w:val="24"/>
          <w:szCs w:val="24"/>
        </w:rPr>
      </w:pPr>
    </w:p>
    <w:p w:rsidR="00381253" w:rsidRDefault="00381253" w:rsidP="009863FF">
      <w:pPr>
        <w:pStyle w:val="ad"/>
        <w:numPr>
          <w:ilvl w:val="0"/>
          <w:numId w:val="1"/>
        </w:numPr>
        <w:spacing w:after="0" w:line="360" w:lineRule="auto"/>
        <w:jc w:val="both"/>
        <w:rPr>
          <w:rFonts w:ascii="David" w:hAnsi="David" w:cs="David"/>
          <w:color w:val="000000" w:themeColor="text1"/>
          <w:sz w:val="24"/>
          <w:szCs w:val="24"/>
        </w:rPr>
      </w:pPr>
      <w:r>
        <w:rPr>
          <w:rFonts w:ascii="David" w:hAnsi="David" w:cs="David" w:hint="cs"/>
          <w:color w:val="000000" w:themeColor="text1"/>
          <w:sz w:val="24"/>
          <w:szCs w:val="24"/>
          <w:rtl/>
        </w:rPr>
        <w:t>כך גם מצאתי לקבל גרסת האם ומייצגה בבית הדין הרבני, כי הזדעקות הטוען הרבני בפתח הדיון כי לא כך ה</w:t>
      </w:r>
      <w:r w:rsidR="00180DCB">
        <w:rPr>
          <w:rFonts w:ascii="David" w:hAnsi="David" w:cs="David" w:hint="cs"/>
          <w:color w:val="000000" w:themeColor="text1"/>
          <w:sz w:val="24"/>
          <w:szCs w:val="24"/>
          <w:rtl/>
        </w:rPr>
        <w:t xml:space="preserve">יה הסיכום (בנוגע לאמירת ב"כ האב כי על הקטינים לשוב </w:t>
      </w:r>
      <w:r w:rsidR="00286104">
        <w:rPr>
          <w:rFonts w:ascii="David" w:hAnsi="David" w:cs="David" w:hint="cs"/>
          <w:color w:val="000000" w:themeColor="text1"/>
          <w:sz w:val="24"/>
          <w:szCs w:val="24"/>
          <w:rtl/>
        </w:rPr>
        <w:t>ולהתגורר ב</w:t>
      </w:r>
      <w:r w:rsidR="00F8253F">
        <w:rPr>
          <w:rFonts w:ascii="David" w:hAnsi="David" w:cs="David" w:hint="cs"/>
          <w:color w:val="000000" w:themeColor="text1"/>
          <w:sz w:val="24"/>
          <w:szCs w:val="24"/>
          <w:rtl/>
        </w:rPr>
        <w:t>...</w:t>
      </w:r>
      <w:r w:rsidR="00286104">
        <w:rPr>
          <w:rFonts w:ascii="David" w:hAnsi="David" w:cs="David" w:hint="cs"/>
          <w:color w:val="000000" w:themeColor="text1"/>
          <w:sz w:val="24"/>
          <w:szCs w:val="24"/>
          <w:rtl/>
        </w:rPr>
        <w:t>) הייתה אמירה אות</w:t>
      </w:r>
      <w:r w:rsidR="00180DCB">
        <w:rPr>
          <w:rFonts w:ascii="David" w:hAnsi="David" w:cs="David" w:hint="cs"/>
          <w:color w:val="000000" w:themeColor="text1"/>
          <w:sz w:val="24"/>
          <w:szCs w:val="24"/>
          <w:rtl/>
        </w:rPr>
        <w:t>נטית, המלמדת על הפתעה של האם וב"כ</w:t>
      </w:r>
      <w:r w:rsidR="00286104">
        <w:rPr>
          <w:rFonts w:ascii="David" w:hAnsi="David" w:cs="David" w:hint="cs"/>
          <w:color w:val="000000" w:themeColor="text1"/>
          <w:sz w:val="24"/>
          <w:szCs w:val="24"/>
          <w:rtl/>
        </w:rPr>
        <w:t xml:space="preserve"> בזמן אמת</w:t>
      </w:r>
      <w:r w:rsidR="00180DCB">
        <w:rPr>
          <w:rFonts w:ascii="David" w:hAnsi="David" w:cs="David" w:hint="cs"/>
          <w:color w:val="000000" w:themeColor="text1"/>
          <w:sz w:val="24"/>
          <w:szCs w:val="24"/>
          <w:rtl/>
        </w:rPr>
        <w:t>, לנוכח החזרה מסיכום קודם, ולפיו הקטינים ימשיכו להתגורר בישראל.</w:t>
      </w:r>
    </w:p>
    <w:p w:rsidR="00180DCB" w:rsidRDefault="00180DCB" w:rsidP="009863FF">
      <w:pPr>
        <w:pStyle w:val="ad"/>
        <w:spacing w:after="0" w:line="360" w:lineRule="auto"/>
        <w:jc w:val="both"/>
        <w:rPr>
          <w:rFonts w:ascii="David" w:hAnsi="David" w:cs="David"/>
          <w:color w:val="000000" w:themeColor="text1"/>
          <w:sz w:val="24"/>
          <w:szCs w:val="24"/>
        </w:rPr>
      </w:pPr>
    </w:p>
    <w:p w:rsidR="00180DCB" w:rsidRDefault="00180DCB" w:rsidP="009863FF">
      <w:pPr>
        <w:pStyle w:val="ad"/>
        <w:numPr>
          <w:ilvl w:val="0"/>
          <w:numId w:val="1"/>
        </w:numPr>
        <w:spacing w:after="0" w:line="360" w:lineRule="auto"/>
        <w:jc w:val="both"/>
        <w:rPr>
          <w:rFonts w:ascii="David" w:hAnsi="David" w:cs="David"/>
          <w:color w:val="000000" w:themeColor="text1"/>
          <w:sz w:val="24"/>
          <w:szCs w:val="24"/>
        </w:rPr>
      </w:pPr>
      <w:r>
        <w:rPr>
          <w:rFonts w:ascii="David" w:hAnsi="David" w:cs="David" w:hint="cs"/>
          <w:color w:val="000000" w:themeColor="text1"/>
          <w:sz w:val="24"/>
          <w:szCs w:val="24"/>
          <w:rtl/>
        </w:rPr>
        <w:lastRenderedPageBreak/>
        <w:t>העובדה כי ממועד סידור הגט</w:t>
      </w:r>
      <w:r w:rsidR="004E7E60">
        <w:rPr>
          <w:rFonts w:ascii="David" w:hAnsi="David" w:cs="David" w:hint="cs"/>
          <w:color w:val="000000" w:themeColor="text1"/>
          <w:sz w:val="24"/>
          <w:szCs w:val="24"/>
          <w:rtl/>
        </w:rPr>
        <w:t xml:space="preserve"> (ביום 30.6.2024) ועד למועד פתיחת ההליך דנן,</w:t>
      </w:r>
      <w:r>
        <w:rPr>
          <w:rFonts w:ascii="David" w:hAnsi="David" w:cs="David" w:hint="cs"/>
          <w:color w:val="000000" w:themeColor="text1"/>
          <w:sz w:val="24"/>
          <w:szCs w:val="24"/>
          <w:rtl/>
        </w:rPr>
        <w:t xml:space="preserve"> לא נעשתה כל פניה מצדו של האב ובא כוחו ממנה ניתן היה ללמוד על חוסר הסכמה להמשך מגורי הקטינים ב</w:t>
      </w:r>
      <w:r w:rsidR="004E7E60">
        <w:rPr>
          <w:rFonts w:ascii="David" w:hAnsi="David" w:cs="David" w:hint="cs"/>
          <w:color w:val="000000" w:themeColor="text1"/>
          <w:sz w:val="24"/>
          <w:szCs w:val="24"/>
          <w:rtl/>
        </w:rPr>
        <w:t>ישראל (ראו עדות האב בעניין המו"מ</w:t>
      </w:r>
      <w:r>
        <w:rPr>
          <w:rFonts w:ascii="David" w:hAnsi="David" w:cs="David" w:hint="cs"/>
          <w:color w:val="000000" w:themeColor="text1"/>
          <w:sz w:val="24"/>
          <w:szCs w:val="24"/>
          <w:rtl/>
        </w:rPr>
        <w:t xml:space="preserve"> והעובדה כי זה נוהל במקביל להתלבטות אודות פתיחת הליך זה וכן עדותו של </w:t>
      </w:r>
      <w:r w:rsidR="0014143A">
        <w:rPr>
          <w:rFonts w:ascii="David" w:hAnsi="David" w:cs="David" w:hint="cs"/>
          <w:color w:val="000000" w:themeColor="text1"/>
          <w:sz w:val="24"/>
          <w:szCs w:val="24"/>
          <w:rtl/>
        </w:rPr>
        <w:t>הרב א</w:t>
      </w:r>
      <w:r w:rsidR="0014143A">
        <w:rPr>
          <w:rFonts w:ascii="David" w:hAnsi="David" w:cs="David"/>
          <w:color w:val="000000" w:themeColor="text1"/>
          <w:sz w:val="24"/>
          <w:szCs w:val="24"/>
          <w:rtl/>
        </w:rPr>
        <w:t>'</w:t>
      </w:r>
      <w:r>
        <w:rPr>
          <w:rFonts w:ascii="David" w:hAnsi="David" w:cs="David" w:hint="cs"/>
          <w:color w:val="000000" w:themeColor="text1"/>
          <w:sz w:val="24"/>
          <w:szCs w:val="24"/>
          <w:rtl/>
        </w:rPr>
        <w:t xml:space="preserve">, שתיאר את פניית האם אליו כפניה היסטרית הנובעת כפי הנראה מהפתעה גמורה) מלמדת </w:t>
      </w:r>
      <w:r w:rsidR="004E7E60">
        <w:rPr>
          <w:rFonts w:ascii="David" w:hAnsi="David" w:cs="David" w:hint="cs"/>
          <w:color w:val="000000" w:themeColor="text1"/>
          <w:sz w:val="24"/>
          <w:szCs w:val="24"/>
          <w:rtl/>
        </w:rPr>
        <w:t xml:space="preserve">אף היא </w:t>
      </w:r>
      <w:r>
        <w:rPr>
          <w:rFonts w:ascii="David" w:hAnsi="David" w:cs="David" w:hint="cs"/>
          <w:color w:val="000000" w:themeColor="text1"/>
          <w:sz w:val="24"/>
          <w:szCs w:val="24"/>
          <w:rtl/>
        </w:rPr>
        <w:t>על הסכמתו של האב או על השלמתו עם המעבר של הקטינים לישראל.</w:t>
      </w:r>
    </w:p>
    <w:p w:rsidR="00AD7A83" w:rsidRDefault="00AD7A83" w:rsidP="009863FF">
      <w:pPr>
        <w:pStyle w:val="ad"/>
        <w:spacing w:after="0" w:line="360" w:lineRule="auto"/>
        <w:jc w:val="both"/>
        <w:rPr>
          <w:rFonts w:ascii="David" w:hAnsi="David" w:cs="David"/>
          <w:color w:val="000000" w:themeColor="text1"/>
          <w:sz w:val="24"/>
          <w:szCs w:val="24"/>
        </w:rPr>
      </w:pPr>
    </w:p>
    <w:p w:rsidR="00AD7A83" w:rsidRDefault="00AD7A83" w:rsidP="009863FF">
      <w:pPr>
        <w:pStyle w:val="ad"/>
        <w:numPr>
          <w:ilvl w:val="0"/>
          <w:numId w:val="1"/>
        </w:numPr>
        <w:spacing w:after="0" w:line="360" w:lineRule="auto"/>
        <w:jc w:val="both"/>
        <w:rPr>
          <w:rFonts w:ascii="David" w:hAnsi="David" w:cs="David"/>
          <w:color w:val="000000" w:themeColor="text1"/>
          <w:sz w:val="24"/>
          <w:szCs w:val="24"/>
        </w:rPr>
      </w:pPr>
      <w:r>
        <w:rPr>
          <w:rFonts w:ascii="David" w:hAnsi="David" w:cs="David"/>
          <w:color w:val="000000" w:themeColor="text1"/>
          <w:sz w:val="24"/>
          <w:szCs w:val="24"/>
          <w:rtl/>
        </w:rPr>
        <w:t xml:space="preserve">גם אם חזר בו האב מהסכמתו זו, הרי שבהתאם לפסיקה (ראו: בין היתר, בע"מ 741/11 </w:t>
      </w:r>
      <w:r w:rsidRPr="00B846DB">
        <w:rPr>
          <w:rFonts w:ascii="David" w:hAnsi="David" w:cs="David"/>
          <w:b/>
          <w:bCs/>
          <w:color w:val="000000" w:themeColor="text1"/>
          <w:sz w:val="24"/>
          <w:szCs w:val="24"/>
          <w:rtl/>
        </w:rPr>
        <w:t>פלונית נ' פלוני</w:t>
      </w:r>
      <w:r>
        <w:rPr>
          <w:rFonts w:ascii="David" w:hAnsi="David" w:cs="David"/>
          <w:color w:val="000000" w:themeColor="text1"/>
          <w:sz w:val="24"/>
          <w:szCs w:val="24"/>
          <w:rtl/>
        </w:rPr>
        <w:t>, שהובא לעיל) כי הכלל הוא שלא ניתן לחזור מהסכמה או מהשלמה ולבטלה למפרע. גם אם אין בהמשך המגורים כדי לשקף בהכרח את טובת הקטינים, לעניין גדרי אמנת האג, כבר נפסק כי משניתנה הסכמה או השלמה אין לברר עוד המחלוקת בין הצדדים כסעד מיידי הנ</w:t>
      </w:r>
      <w:r w:rsidR="00B846DB">
        <w:rPr>
          <w:rFonts w:ascii="David" w:hAnsi="David" w:cs="David"/>
          <w:color w:val="000000" w:themeColor="text1"/>
          <w:sz w:val="24"/>
          <w:szCs w:val="24"/>
          <w:rtl/>
        </w:rPr>
        <w:t>יתן במסגרת האמנה, אלא יש לברר</w:t>
      </w:r>
      <w:r w:rsidR="00B846DB">
        <w:rPr>
          <w:rFonts w:ascii="David" w:hAnsi="David" w:cs="David" w:hint="cs"/>
          <w:color w:val="000000" w:themeColor="text1"/>
          <w:sz w:val="24"/>
          <w:szCs w:val="24"/>
          <w:rtl/>
        </w:rPr>
        <w:t>ה</w:t>
      </w:r>
      <w:r>
        <w:rPr>
          <w:rFonts w:ascii="David" w:hAnsi="David" w:cs="David"/>
          <w:color w:val="000000" w:themeColor="text1"/>
          <w:sz w:val="24"/>
          <w:szCs w:val="24"/>
          <w:rtl/>
        </w:rPr>
        <w:t xml:space="preserve"> בהליך מתאים ולא כסעד מהיר ומיידי המוענק באמנה, ונכון לפתור את הסכסוך בדרכים אלטרנטיביות.</w:t>
      </w:r>
    </w:p>
    <w:p w:rsidR="00AD7A83" w:rsidRDefault="00AD7A83" w:rsidP="009863FF">
      <w:pPr>
        <w:pStyle w:val="ad"/>
        <w:spacing w:after="0" w:line="360" w:lineRule="auto"/>
        <w:jc w:val="both"/>
        <w:rPr>
          <w:rFonts w:ascii="David" w:hAnsi="David" w:cs="David"/>
          <w:color w:val="000000" w:themeColor="text1"/>
          <w:sz w:val="24"/>
          <w:szCs w:val="24"/>
        </w:rPr>
      </w:pPr>
    </w:p>
    <w:p w:rsidR="00AD7A83" w:rsidRDefault="00AD7A83" w:rsidP="00215FD1">
      <w:pPr>
        <w:pStyle w:val="ad"/>
        <w:numPr>
          <w:ilvl w:val="0"/>
          <w:numId w:val="1"/>
        </w:numPr>
        <w:spacing w:after="0" w:line="360" w:lineRule="auto"/>
        <w:jc w:val="both"/>
        <w:rPr>
          <w:rFonts w:ascii="David" w:hAnsi="David" w:cs="David"/>
          <w:color w:val="000000" w:themeColor="text1"/>
          <w:sz w:val="24"/>
          <w:szCs w:val="24"/>
        </w:rPr>
      </w:pPr>
      <w:r w:rsidRPr="00215FD1">
        <w:rPr>
          <w:rFonts w:ascii="David" w:hAnsi="David" w:cs="David"/>
          <w:color w:val="000000" w:themeColor="text1"/>
          <w:sz w:val="24"/>
          <w:szCs w:val="24"/>
          <w:rtl/>
        </w:rPr>
        <w:t>סבורני גם כן, כי יש לקבל טענת האם כי התובענה הוגשה כמנוף לחץ וככלי מיקוח על מנת להשיג הישגים הזרים לעקרונות האמנה, ואם כן, על פי הפסיקה, אין לביהמ"ש לקבל התנהלות זו ויש לדחות את התביעה גם מטעם זה</w:t>
      </w:r>
      <w:r w:rsidR="00D9710E" w:rsidRPr="00215FD1">
        <w:rPr>
          <w:rFonts w:ascii="David" w:hAnsi="David" w:cs="David" w:hint="cs"/>
          <w:color w:val="000000" w:themeColor="text1"/>
          <w:sz w:val="24"/>
          <w:szCs w:val="24"/>
          <w:rtl/>
        </w:rPr>
        <w:t xml:space="preserve">, שכן </w:t>
      </w:r>
      <w:r w:rsidR="00D9710E" w:rsidRPr="00215FD1">
        <w:rPr>
          <w:rFonts w:ascii="David" w:hAnsi="David" w:cs="David" w:hint="cs"/>
          <w:sz w:val="24"/>
          <w:szCs w:val="24"/>
          <w:rtl/>
        </w:rPr>
        <w:t>כפי שנקבע</w:t>
      </w:r>
      <w:r w:rsidR="00D9710E" w:rsidRPr="00215FD1">
        <w:rPr>
          <w:rFonts w:ascii="David" w:hAnsi="David" w:cs="David"/>
          <w:sz w:val="24"/>
          <w:szCs w:val="24"/>
          <w:rtl/>
        </w:rPr>
        <w:t xml:space="preserve"> בפרשת פלונית, אחת</w:t>
      </w:r>
      <w:r w:rsidR="00D9710E" w:rsidRPr="00215FD1">
        <w:rPr>
          <w:rFonts w:ascii="David" w:hAnsi="David" w:cs="David" w:hint="cs"/>
          <w:sz w:val="24"/>
          <w:szCs w:val="24"/>
          <w:rtl/>
        </w:rPr>
        <w:t xml:space="preserve"> התכליות של </w:t>
      </w:r>
      <w:r w:rsidR="008B0B15" w:rsidRPr="00215FD1">
        <w:rPr>
          <w:rFonts w:ascii="David" w:hAnsi="David" w:cs="David" w:hint="cs"/>
          <w:sz w:val="24"/>
          <w:szCs w:val="24"/>
          <w:rtl/>
        </w:rPr>
        <w:t>החריגים הקבועים בסעיף 13</w:t>
      </w:r>
      <w:r w:rsidR="00215FD1" w:rsidRPr="00215FD1">
        <w:rPr>
          <w:rFonts w:ascii="David" w:hAnsi="David" w:cs="David" w:hint="cs"/>
          <w:sz w:val="24"/>
          <w:szCs w:val="24"/>
          <w:rtl/>
        </w:rPr>
        <w:t>(</w:t>
      </w:r>
      <w:r w:rsidR="008B0B15" w:rsidRPr="00215FD1">
        <w:rPr>
          <w:rFonts w:ascii="David" w:hAnsi="David" w:cs="David" w:hint="cs"/>
          <w:sz w:val="24"/>
          <w:szCs w:val="24"/>
          <w:rtl/>
        </w:rPr>
        <w:t>א</w:t>
      </w:r>
      <w:r w:rsidR="00215FD1" w:rsidRPr="00215FD1">
        <w:rPr>
          <w:rFonts w:ascii="David" w:hAnsi="David" w:cs="David" w:hint="cs"/>
          <w:sz w:val="24"/>
          <w:szCs w:val="24"/>
          <w:rtl/>
        </w:rPr>
        <w:t>) לאמנה</w:t>
      </w:r>
      <w:r w:rsidR="00D9710E" w:rsidRPr="00215FD1">
        <w:rPr>
          <w:rFonts w:ascii="David" w:hAnsi="David" w:cs="David"/>
          <w:sz w:val="24"/>
          <w:szCs w:val="24"/>
          <w:rtl/>
        </w:rPr>
        <w:t xml:space="preserve">, </w:t>
      </w:r>
      <w:r w:rsidR="00215FD1">
        <w:rPr>
          <w:rFonts w:ascii="David" w:hAnsi="David" w:cs="David" w:hint="cs"/>
          <w:sz w:val="24"/>
          <w:szCs w:val="24"/>
          <w:rtl/>
        </w:rPr>
        <w:t>הינה</w:t>
      </w:r>
      <w:r w:rsidR="00215FD1">
        <w:rPr>
          <w:rFonts w:ascii="David" w:hAnsi="David" w:cs="David"/>
          <w:sz w:val="24"/>
          <w:szCs w:val="24"/>
          <w:rtl/>
        </w:rPr>
        <w:t xml:space="preserve"> לתת </w:t>
      </w:r>
      <w:r w:rsidR="00D9710E">
        <w:rPr>
          <w:rFonts w:ascii="David" w:hAnsi="David" w:cs="David"/>
          <w:sz w:val="24"/>
          <w:szCs w:val="24"/>
          <w:rtl/>
        </w:rPr>
        <w:t>למנוע שימוש ציני בסעד ההחזרה המיידי המוענק במסגרת האמנה, באופן שיהפוך את האמנה לכלי מיקוח בידי ההורה הנחטף.</w:t>
      </w:r>
      <w:r w:rsidR="00215FD1">
        <w:rPr>
          <w:rFonts w:ascii="David" w:hAnsi="David" w:cs="David" w:hint="cs"/>
          <w:color w:val="000000" w:themeColor="text1"/>
          <w:sz w:val="24"/>
          <w:szCs w:val="24"/>
          <w:rtl/>
        </w:rPr>
        <w:t xml:space="preserve"> </w:t>
      </w:r>
    </w:p>
    <w:p w:rsidR="00AD7A83" w:rsidRDefault="00AD7A83" w:rsidP="009863FF">
      <w:pPr>
        <w:pStyle w:val="ad"/>
        <w:spacing w:after="0" w:line="360" w:lineRule="auto"/>
        <w:jc w:val="both"/>
        <w:rPr>
          <w:rFonts w:ascii="David" w:hAnsi="David" w:cs="David"/>
          <w:color w:val="000000" w:themeColor="text1"/>
          <w:sz w:val="24"/>
          <w:szCs w:val="24"/>
        </w:rPr>
      </w:pPr>
    </w:p>
    <w:p w:rsidR="00AD7A83" w:rsidRDefault="00AD7A83" w:rsidP="003F6681">
      <w:pPr>
        <w:pStyle w:val="ad"/>
        <w:numPr>
          <w:ilvl w:val="0"/>
          <w:numId w:val="1"/>
        </w:numPr>
        <w:spacing w:after="0" w:line="360" w:lineRule="auto"/>
        <w:jc w:val="both"/>
        <w:rPr>
          <w:rFonts w:ascii="David" w:hAnsi="David" w:cs="David"/>
          <w:color w:val="000000" w:themeColor="text1"/>
          <w:sz w:val="24"/>
          <w:szCs w:val="24"/>
        </w:rPr>
      </w:pPr>
      <w:r>
        <w:rPr>
          <w:rFonts w:ascii="David" w:hAnsi="David" w:cs="David"/>
          <w:color w:val="000000" w:themeColor="text1"/>
          <w:sz w:val="24"/>
          <w:szCs w:val="24"/>
          <w:rtl/>
        </w:rPr>
        <w:lastRenderedPageBreak/>
        <w:t xml:space="preserve">מסקנתי זו התגבשה ממכלול הנסיבות, שכללו את עדותו של </w:t>
      </w:r>
      <w:r w:rsidR="0014143A">
        <w:rPr>
          <w:rFonts w:ascii="David" w:hAnsi="David" w:cs="David"/>
          <w:color w:val="000000" w:themeColor="text1"/>
          <w:sz w:val="24"/>
          <w:szCs w:val="24"/>
          <w:rtl/>
        </w:rPr>
        <w:t>הרב א'</w:t>
      </w:r>
      <w:r>
        <w:rPr>
          <w:rFonts w:ascii="David" w:hAnsi="David" w:cs="David"/>
          <w:color w:val="000000" w:themeColor="text1"/>
          <w:sz w:val="24"/>
          <w:szCs w:val="24"/>
          <w:rtl/>
        </w:rPr>
        <w:t xml:space="preserve"> אשר העיד כי פנה לצד שכנגד ונאמר לו כי מדובר ב</w:t>
      </w:r>
      <w:r>
        <w:rPr>
          <w:rFonts w:ascii="David" w:hAnsi="David" w:cs="David"/>
          <w:sz w:val="24"/>
          <w:szCs w:val="24"/>
          <w:rtl/>
        </w:rPr>
        <w:t xml:space="preserve"> </w:t>
      </w:r>
      <w:r>
        <w:rPr>
          <w:rFonts w:ascii="David" w:hAnsi="David" w:cs="David"/>
          <w:b/>
          <w:bCs/>
          <w:i/>
          <w:iCs/>
          <w:color w:val="000000" w:themeColor="text1"/>
          <w:sz w:val="24"/>
          <w:szCs w:val="24"/>
          <w:rtl/>
        </w:rPr>
        <w:t>"משהו טכני</w:t>
      </w:r>
      <w:r w:rsidR="003F6681">
        <w:rPr>
          <w:rFonts w:ascii="David" w:hAnsi="David" w:cs="David" w:hint="cs"/>
          <w:b/>
          <w:bCs/>
          <w:i/>
          <w:iCs/>
          <w:color w:val="000000" w:themeColor="text1"/>
          <w:sz w:val="24"/>
          <w:szCs w:val="24"/>
          <w:rtl/>
        </w:rPr>
        <w:t xml:space="preserve"> </w:t>
      </w:r>
      <w:r w:rsidR="003F6681" w:rsidRPr="003F6681">
        <w:rPr>
          <w:rFonts w:ascii="David" w:hAnsi="David" w:cs="David" w:hint="cs"/>
          <w:color w:val="000000" w:themeColor="text1"/>
          <w:sz w:val="24"/>
          <w:szCs w:val="24"/>
          <w:rtl/>
        </w:rPr>
        <w:t>(בהתייחסו לתובענה לפי אמנת האג. א.מ.)</w:t>
      </w:r>
      <w:r>
        <w:rPr>
          <w:rFonts w:ascii="David" w:hAnsi="David" w:cs="David"/>
          <w:b/>
          <w:bCs/>
          <w:i/>
          <w:iCs/>
          <w:color w:val="000000" w:themeColor="text1"/>
          <w:sz w:val="24"/>
          <w:szCs w:val="24"/>
          <w:rtl/>
        </w:rPr>
        <w:t>, אף אחד לא הולך להחזיר אותה ל</w:t>
      </w:r>
      <w:r w:rsidR="00F8253F">
        <w:rPr>
          <w:rFonts w:ascii="David" w:hAnsi="David" w:cs="David"/>
          <w:b/>
          <w:bCs/>
          <w:i/>
          <w:iCs/>
          <w:color w:val="000000" w:themeColor="text1"/>
          <w:sz w:val="24"/>
          <w:szCs w:val="24"/>
          <w:rtl/>
        </w:rPr>
        <w:t>...</w:t>
      </w:r>
      <w:r>
        <w:rPr>
          <w:rFonts w:ascii="David" w:hAnsi="David" w:cs="David"/>
          <w:b/>
          <w:bCs/>
          <w:i/>
          <w:iCs/>
          <w:color w:val="000000" w:themeColor="text1"/>
          <w:sz w:val="24"/>
          <w:szCs w:val="24"/>
          <w:rtl/>
        </w:rPr>
        <w:t>"</w:t>
      </w:r>
      <w:r>
        <w:rPr>
          <w:rFonts w:ascii="David" w:hAnsi="David" w:cs="David"/>
          <w:color w:val="000000" w:themeColor="text1"/>
          <w:sz w:val="24"/>
          <w:szCs w:val="24"/>
          <w:rtl/>
        </w:rPr>
        <w:t xml:space="preserve"> ובניסיון </w:t>
      </w:r>
      <w:r>
        <w:rPr>
          <w:rFonts w:ascii="David" w:hAnsi="David" w:cs="David"/>
          <w:b/>
          <w:bCs/>
          <w:i/>
          <w:iCs/>
          <w:color w:val="000000" w:themeColor="text1"/>
          <w:sz w:val="24"/>
          <w:szCs w:val="24"/>
          <w:rtl/>
        </w:rPr>
        <w:t xml:space="preserve">"לקבל קצת יותר" </w:t>
      </w:r>
      <w:r>
        <w:rPr>
          <w:rFonts w:ascii="David" w:hAnsi="David" w:cs="David"/>
          <w:color w:val="000000" w:themeColor="text1"/>
          <w:sz w:val="24"/>
          <w:szCs w:val="24"/>
          <w:rtl/>
        </w:rPr>
        <w:t xml:space="preserve">(ראו: פרוטוקול הדיון בעמ' 31, ש' 10-15) ודברים אלה קיבלו חיזוק מדברי ב"כ האב עצמו בדיון מיום 12.8.2024 </w:t>
      </w:r>
      <w:r>
        <w:rPr>
          <w:rFonts w:ascii="David" w:hAnsi="David" w:cs="David"/>
          <w:sz w:val="24"/>
          <w:szCs w:val="24"/>
          <w:rtl/>
        </w:rPr>
        <w:t>(ראו הפניה לעיל לעמ' 8, ש' 9-10 לפרוטוקול</w:t>
      </w:r>
      <w:r>
        <w:rPr>
          <w:rFonts w:ascii="David" w:hAnsi="David" w:cs="David"/>
          <w:color w:val="000000" w:themeColor="text1"/>
          <w:sz w:val="24"/>
          <w:szCs w:val="24"/>
          <w:rtl/>
        </w:rPr>
        <w:t xml:space="preserve"> הדיון הראשון)</w:t>
      </w:r>
      <w:r w:rsidR="003F6681">
        <w:rPr>
          <w:rFonts w:ascii="David" w:hAnsi="David" w:cs="David" w:hint="cs"/>
          <w:color w:val="000000" w:themeColor="text1"/>
          <w:sz w:val="24"/>
          <w:szCs w:val="24"/>
          <w:rtl/>
        </w:rPr>
        <w:t>.</w:t>
      </w:r>
      <w:r>
        <w:rPr>
          <w:rFonts w:ascii="David" w:hAnsi="David" w:cs="David"/>
          <w:color w:val="000000" w:themeColor="text1"/>
          <w:sz w:val="24"/>
          <w:szCs w:val="24"/>
          <w:rtl/>
        </w:rPr>
        <w:t xml:space="preserve"> </w:t>
      </w:r>
      <w:r w:rsidR="003F6681">
        <w:rPr>
          <w:rFonts w:ascii="David" w:hAnsi="David" w:cs="David" w:hint="cs"/>
          <w:color w:val="000000" w:themeColor="text1"/>
          <w:sz w:val="24"/>
          <w:szCs w:val="24"/>
          <w:rtl/>
        </w:rPr>
        <w:t>אי לכך</w:t>
      </w:r>
      <w:r>
        <w:rPr>
          <w:rFonts w:ascii="David" w:hAnsi="David" w:cs="David"/>
          <w:color w:val="000000" w:themeColor="text1"/>
          <w:sz w:val="24"/>
          <w:szCs w:val="24"/>
          <w:rtl/>
        </w:rPr>
        <w:t>, מצאתי שלא להעניק לאב סעד מכוח האמנה, גם לנוכח הפרת חובת תום הלב וכפי מסקנת השו' דרורי שהובאה לעיל.</w:t>
      </w:r>
    </w:p>
    <w:p w:rsidR="00AD7A83" w:rsidRDefault="00AD7A83" w:rsidP="009863FF">
      <w:pPr>
        <w:pStyle w:val="ad"/>
        <w:spacing w:after="0" w:line="360" w:lineRule="auto"/>
        <w:jc w:val="both"/>
        <w:rPr>
          <w:rFonts w:ascii="David" w:hAnsi="David" w:cs="David"/>
          <w:sz w:val="24"/>
          <w:szCs w:val="24"/>
        </w:rPr>
      </w:pPr>
    </w:p>
    <w:p w:rsidR="00AD7A83" w:rsidRDefault="00AD7A83" w:rsidP="0008539F">
      <w:pPr>
        <w:pStyle w:val="ad"/>
        <w:numPr>
          <w:ilvl w:val="0"/>
          <w:numId w:val="1"/>
        </w:numPr>
        <w:spacing w:after="0" w:line="360" w:lineRule="auto"/>
        <w:jc w:val="both"/>
        <w:rPr>
          <w:rFonts w:ascii="David" w:hAnsi="David" w:cs="David"/>
          <w:sz w:val="24"/>
          <w:szCs w:val="24"/>
        </w:rPr>
      </w:pPr>
      <w:r>
        <w:rPr>
          <w:rFonts w:ascii="David" w:hAnsi="David" w:cs="David"/>
          <w:sz w:val="24"/>
          <w:szCs w:val="24"/>
          <w:rtl/>
        </w:rPr>
        <w:t>"</w:t>
      </w:r>
      <w:r>
        <w:rPr>
          <w:rFonts w:ascii="David" w:hAnsi="David" w:cs="David"/>
          <w:i/>
          <w:iCs/>
          <w:sz w:val="24"/>
          <w:szCs w:val="24"/>
          <w:rtl/>
        </w:rPr>
        <w:t>יש לזכור כי אין לאפשר מצב בו הורה הקטין הנחטף עושה שימוש באמנה ככלי מיקוח בסכסוך הכולל בין ההורים ...</w:t>
      </w:r>
      <w:r>
        <w:rPr>
          <w:rFonts w:ascii="David" w:hAnsi="David" w:cs="David"/>
          <w:sz w:val="24"/>
          <w:szCs w:val="24"/>
          <w:rtl/>
        </w:rPr>
        <w:t xml:space="preserve">" [כדברי כב' השופט מ' מזוז בבע"מ 9624/17 </w:t>
      </w:r>
      <w:r>
        <w:rPr>
          <w:rFonts w:ascii="David" w:hAnsi="David" w:cs="David"/>
          <w:b/>
          <w:bCs/>
          <w:sz w:val="24"/>
          <w:szCs w:val="24"/>
          <w:rtl/>
        </w:rPr>
        <w:t>פלוני נ' פלונית</w:t>
      </w:r>
      <w:r>
        <w:rPr>
          <w:rFonts w:ascii="David" w:hAnsi="David" w:cs="David"/>
          <w:sz w:val="24"/>
          <w:szCs w:val="24"/>
          <w:rtl/>
        </w:rPr>
        <w:t xml:space="preserve"> (מאגרים משפטיים, 24.12.2017)] ובעת שסברתי כי התנהלותו של האב מלמדת </w:t>
      </w:r>
      <w:r w:rsidR="00E72209">
        <w:rPr>
          <w:rFonts w:ascii="David" w:hAnsi="David" w:cs="David" w:hint="cs"/>
          <w:sz w:val="24"/>
          <w:szCs w:val="24"/>
          <w:rtl/>
        </w:rPr>
        <w:t>שהוא</w:t>
      </w:r>
      <w:r>
        <w:rPr>
          <w:rFonts w:ascii="David" w:hAnsi="David" w:cs="David"/>
          <w:sz w:val="24"/>
          <w:szCs w:val="24"/>
          <w:rtl/>
        </w:rPr>
        <w:t xml:space="preserve"> מבקש לעשות את האמ</w:t>
      </w:r>
      <w:r w:rsidR="00307E4C">
        <w:rPr>
          <w:rFonts w:ascii="David" w:hAnsi="David" w:cs="David" w:hint="cs"/>
          <w:sz w:val="24"/>
          <w:szCs w:val="24"/>
          <w:rtl/>
        </w:rPr>
        <w:t>נ</w:t>
      </w:r>
      <w:r>
        <w:rPr>
          <w:rFonts w:ascii="David" w:hAnsi="David" w:cs="David"/>
          <w:sz w:val="24"/>
          <w:szCs w:val="24"/>
          <w:rtl/>
        </w:rPr>
        <w:t>ה כ"קרדום לחפור בה" לא מצאתי לקבל תביעתו, גם מטעם זה.</w:t>
      </w:r>
    </w:p>
    <w:p w:rsidR="00AD7A83" w:rsidRDefault="00AD7A83" w:rsidP="0008539F">
      <w:pPr>
        <w:pStyle w:val="ad"/>
        <w:spacing w:after="0" w:line="360" w:lineRule="auto"/>
        <w:jc w:val="both"/>
        <w:rPr>
          <w:rFonts w:ascii="David" w:hAnsi="David" w:cs="David"/>
          <w:sz w:val="24"/>
          <w:szCs w:val="24"/>
        </w:rPr>
      </w:pPr>
    </w:p>
    <w:p w:rsidR="00AD7A83" w:rsidRPr="0076156C" w:rsidRDefault="00AD7A83" w:rsidP="0076156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לאור כל האמור </w:t>
      </w:r>
      <w:r w:rsidR="00E72209">
        <w:rPr>
          <w:rFonts w:ascii="David" w:hAnsi="David" w:cs="David" w:hint="cs"/>
          <w:sz w:val="24"/>
          <w:szCs w:val="24"/>
          <w:rtl/>
        </w:rPr>
        <w:t>ומכל הנימוקי</w:t>
      </w:r>
      <w:r w:rsidR="0008539F">
        <w:rPr>
          <w:rFonts w:ascii="David" w:hAnsi="David" w:cs="David" w:hint="cs"/>
          <w:sz w:val="24"/>
          <w:szCs w:val="24"/>
          <w:rtl/>
        </w:rPr>
        <w:t xml:space="preserve">ם המפורטים לעיל, </w:t>
      </w:r>
      <w:r w:rsidR="0008539F">
        <w:rPr>
          <w:rFonts w:ascii="David" w:hAnsi="David" w:cs="David"/>
          <w:sz w:val="24"/>
          <w:szCs w:val="24"/>
          <w:rtl/>
        </w:rPr>
        <w:t>אני דוחה את תביע</w:t>
      </w:r>
      <w:r w:rsidR="0008539F">
        <w:rPr>
          <w:rFonts w:ascii="David" w:hAnsi="David" w:cs="David" w:hint="cs"/>
          <w:sz w:val="24"/>
          <w:szCs w:val="24"/>
          <w:rtl/>
        </w:rPr>
        <w:t>ת האב</w:t>
      </w:r>
      <w:r>
        <w:rPr>
          <w:rFonts w:ascii="David" w:hAnsi="David" w:cs="David"/>
          <w:sz w:val="24"/>
          <w:szCs w:val="24"/>
          <w:rtl/>
        </w:rPr>
        <w:t xml:space="preserve"> להשבת הקטינים ל</w:t>
      </w:r>
      <w:r w:rsidR="00307E4C">
        <w:rPr>
          <w:rFonts w:ascii="David" w:hAnsi="David" w:cs="David" w:hint="cs"/>
          <w:sz w:val="24"/>
          <w:szCs w:val="24"/>
          <w:rtl/>
        </w:rPr>
        <w:t>ארה"ב</w:t>
      </w:r>
      <w:r>
        <w:rPr>
          <w:rFonts w:ascii="David" w:hAnsi="David" w:cs="David"/>
          <w:sz w:val="24"/>
          <w:szCs w:val="24"/>
          <w:rtl/>
        </w:rPr>
        <w:t xml:space="preserve"> מכוח הוראות האמנה. </w:t>
      </w:r>
    </w:p>
    <w:p w:rsidR="00AD7A83" w:rsidRDefault="00AD7A83" w:rsidP="0008539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משהגעתי לכלל מסקנה זו ותוך שהבאתי לידי ביטוי</w:t>
      </w:r>
      <w:r w:rsidR="0008539F">
        <w:rPr>
          <w:rFonts w:ascii="David" w:hAnsi="David" w:cs="David" w:hint="cs"/>
          <w:sz w:val="24"/>
          <w:szCs w:val="24"/>
          <w:rtl/>
        </w:rPr>
        <w:t xml:space="preserve"> גם</w:t>
      </w:r>
      <w:r>
        <w:rPr>
          <w:rFonts w:ascii="David" w:hAnsi="David" w:cs="David"/>
          <w:sz w:val="24"/>
          <w:szCs w:val="24"/>
          <w:rtl/>
        </w:rPr>
        <w:t xml:space="preserve"> את העובדה כי הצדדים נשאו זה מכבר בעלויות עריכת חוות </w:t>
      </w:r>
      <w:r w:rsidR="0008539F">
        <w:rPr>
          <w:rFonts w:ascii="David" w:hAnsi="David" w:cs="David"/>
          <w:sz w:val="24"/>
          <w:szCs w:val="24"/>
          <w:rtl/>
        </w:rPr>
        <w:t>דעת מומחית ביהמ"ש</w:t>
      </w:r>
      <w:r>
        <w:rPr>
          <w:rFonts w:ascii="David" w:hAnsi="David" w:cs="David"/>
          <w:sz w:val="24"/>
          <w:szCs w:val="24"/>
          <w:rtl/>
        </w:rPr>
        <w:t xml:space="preserve"> </w:t>
      </w:r>
      <w:r w:rsidR="0008539F">
        <w:rPr>
          <w:rFonts w:ascii="David" w:hAnsi="David" w:cs="David" w:hint="cs"/>
          <w:sz w:val="24"/>
          <w:szCs w:val="24"/>
          <w:rtl/>
        </w:rPr>
        <w:t>(בעקבות</w:t>
      </w:r>
      <w:r>
        <w:rPr>
          <w:rFonts w:ascii="David" w:hAnsi="David" w:cs="David"/>
          <w:sz w:val="24"/>
          <w:szCs w:val="24"/>
          <w:rtl/>
        </w:rPr>
        <w:t xml:space="preserve"> טענת האם שנזנחה</w:t>
      </w:r>
      <w:r w:rsidR="0008539F">
        <w:rPr>
          <w:rFonts w:ascii="David" w:hAnsi="David" w:cs="David" w:hint="cs"/>
          <w:sz w:val="24"/>
          <w:szCs w:val="24"/>
          <w:rtl/>
        </w:rPr>
        <w:t>)</w:t>
      </w:r>
      <w:r>
        <w:rPr>
          <w:rFonts w:ascii="David" w:hAnsi="David" w:cs="David"/>
          <w:sz w:val="24"/>
          <w:szCs w:val="24"/>
          <w:rtl/>
        </w:rPr>
        <w:t xml:space="preserve"> אני מחייב התובע לשלם הוצאות משפט מופחתות בסך 10,000 ₪</w:t>
      </w:r>
      <w:r w:rsidR="0008539F">
        <w:rPr>
          <w:rFonts w:ascii="David" w:hAnsi="David" w:cs="David" w:hint="cs"/>
          <w:sz w:val="24"/>
          <w:szCs w:val="24"/>
          <w:rtl/>
        </w:rPr>
        <w:t xml:space="preserve"> (הכוללים גם שכ"ט עו"ד)</w:t>
      </w:r>
      <w:r>
        <w:rPr>
          <w:rFonts w:ascii="David" w:hAnsi="David" w:cs="David"/>
          <w:sz w:val="24"/>
          <w:szCs w:val="24"/>
          <w:rtl/>
        </w:rPr>
        <w:t xml:space="preserve">, אשר ישולמו </w:t>
      </w:r>
      <w:r w:rsidR="0008539F">
        <w:rPr>
          <w:rFonts w:ascii="David" w:hAnsi="David" w:cs="David" w:hint="cs"/>
          <w:sz w:val="24"/>
          <w:szCs w:val="24"/>
          <w:rtl/>
        </w:rPr>
        <w:t xml:space="preserve">לנתבעת </w:t>
      </w:r>
      <w:r>
        <w:rPr>
          <w:rFonts w:ascii="David" w:hAnsi="David" w:cs="David"/>
          <w:sz w:val="24"/>
          <w:szCs w:val="24"/>
          <w:rtl/>
        </w:rPr>
        <w:t>בתוך 30 יום</w:t>
      </w:r>
      <w:r w:rsidR="0008539F">
        <w:rPr>
          <w:rFonts w:ascii="David" w:hAnsi="David" w:cs="David" w:hint="cs"/>
          <w:sz w:val="24"/>
          <w:szCs w:val="24"/>
          <w:rtl/>
        </w:rPr>
        <w:t>,</w:t>
      </w:r>
      <w:r>
        <w:rPr>
          <w:rFonts w:ascii="David" w:hAnsi="David" w:cs="David"/>
          <w:sz w:val="24"/>
          <w:szCs w:val="24"/>
          <w:rtl/>
        </w:rPr>
        <w:t xml:space="preserve"> כשסכום זה נושא הפרשי הצמדה כדין ממועד פסק הדין ועד למועד התשלום בפועל.</w:t>
      </w:r>
    </w:p>
    <w:p w:rsidR="00AD7A83" w:rsidRDefault="00AD7A83" w:rsidP="009863FF">
      <w:pPr>
        <w:spacing w:line="360" w:lineRule="auto"/>
        <w:rPr>
          <w:rFonts w:ascii="David" w:hAnsi="David"/>
        </w:rPr>
      </w:pPr>
    </w:p>
    <w:p w:rsidR="00AD7A83" w:rsidRDefault="00AD7A83" w:rsidP="009863FF">
      <w:pPr>
        <w:spacing w:line="360" w:lineRule="auto"/>
        <w:rPr>
          <w:rFonts w:ascii="David" w:hAnsi="David"/>
          <w:rtl/>
        </w:rPr>
      </w:pPr>
      <w:r>
        <w:rPr>
          <w:rFonts w:ascii="David" w:hAnsi="David"/>
          <w:rtl/>
        </w:rPr>
        <w:t>מתיר העברה למאגרים משפטיים, בהשמטת פרטים מזהים ושמות הצדדים.</w:t>
      </w:r>
    </w:p>
    <w:p w:rsidR="00AD7A83" w:rsidRDefault="00AD7A83" w:rsidP="009863FF">
      <w:pPr>
        <w:spacing w:line="360" w:lineRule="auto"/>
        <w:jc w:val="both"/>
        <w:rPr>
          <w:rFonts w:ascii="David" w:hAnsi="David"/>
        </w:rPr>
      </w:pPr>
    </w:p>
    <w:p w:rsidR="00694556" w:rsidRPr="0008539F" w:rsidRDefault="0008539F">
      <w:pPr>
        <w:spacing w:line="360" w:lineRule="auto"/>
        <w:jc w:val="both"/>
        <w:rPr>
          <w:rFonts w:ascii="David" w:hAnsi="David"/>
          <w:b/>
          <w:bCs/>
          <w:rtl/>
        </w:rPr>
      </w:pPr>
      <w:r w:rsidRPr="0008539F">
        <w:rPr>
          <w:rFonts w:ascii="David" w:hAnsi="David" w:hint="cs"/>
          <w:b/>
          <w:bCs/>
          <w:rtl/>
        </w:rPr>
        <w:t>בכך מסתיים בירור ההליך. המזכירות תסגור התיק.</w:t>
      </w:r>
    </w:p>
    <w:p w:rsidR="0008539F" w:rsidRDefault="0008539F">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13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017D0C" w:rsidRDefault="00032FE0" w:rsidP="00633C4F">
      <w:pPr>
        <w:spacing w:line="360" w:lineRule="auto"/>
        <w:ind w:left="3600" w:firstLine="720"/>
        <w:rPr>
          <w:b/>
          <w:bCs/>
        </w:rPr>
      </w:pPr>
      <w:sdt>
        <w:sdtPr>
          <w:rPr>
            <w:rtl/>
          </w:rPr>
          <w:alias w:val="MergeField"/>
          <w:tag w:val="1237"/>
          <w:id w:val="-916241319"/>
        </w:sdtPr>
        <w:sdtEndPr>
          <w:rPr>
            <w:b/>
            <w:bCs/>
          </w:rPr>
        </w:sdtEndPr>
        <w:sdtContent>
          <w:r w:rsidR="00017D0C" w:rsidRPr="00017D0C">
            <w:rPr>
              <w:rFonts w:hint="cs"/>
              <w:b/>
              <w:b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FE0" w:rsidRDefault="00032FE0">
      <w:r>
        <w:separator/>
      </w:r>
    </w:p>
  </w:endnote>
  <w:endnote w:type="continuationSeparator" w:id="0">
    <w:p w:rsidR="00032FE0" w:rsidRDefault="0003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502B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502B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FE0" w:rsidRDefault="00032FE0">
      <w:r>
        <w:separator/>
      </w:r>
    </w:p>
  </w:footnote>
  <w:footnote w:type="continuationSeparator" w:id="0">
    <w:p w:rsidR="00032FE0" w:rsidRDefault="00032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032FE0" w:rsidP="00F8253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23736-08-24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8253F">
                <w:rPr>
                  <w:rFonts w:hint="cs"/>
                  <w:b/>
                  <w:bCs/>
                  <w:noProof w:val="0"/>
                  <w:sz w:val="26"/>
                  <w:szCs w:val="26"/>
                  <w:rtl/>
                </w:rPr>
                <w:t>מ. ל.</w:t>
              </w:r>
              <w:r w:rsidR="00FB3C14">
                <w:rPr>
                  <w:b/>
                  <w:bCs/>
                  <w:noProof w:val="0"/>
                  <w:sz w:val="26"/>
                  <w:szCs w:val="26"/>
                  <w:rtl/>
                </w:rPr>
                <w:t xml:space="preserve"> נ' </w:t>
              </w:r>
              <w:r w:rsidR="00F8253F">
                <w:rPr>
                  <w:rFonts w:hint="cs"/>
                  <w:b/>
                  <w:bCs/>
                  <w:noProof w:val="0"/>
                  <w:sz w:val="26"/>
                  <w:szCs w:val="26"/>
                  <w:rtl/>
                </w:rPr>
                <w:t>ר. ל.</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24B2"/>
    <w:multiLevelType w:val="hybridMultilevel"/>
    <w:tmpl w:val="E6C00E66"/>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F6F414B"/>
    <w:multiLevelType w:val="hybridMultilevel"/>
    <w:tmpl w:val="3AF40096"/>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A0F6C23"/>
    <w:multiLevelType w:val="hybridMultilevel"/>
    <w:tmpl w:val="A5A2B360"/>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20C96EB4"/>
    <w:multiLevelType w:val="hybridMultilevel"/>
    <w:tmpl w:val="79D66D86"/>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2F8F417F"/>
    <w:multiLevelType w:val="hybridMultilevel"/>
    <w:tmpl w:val="F0A6C0D4"/>
    <w:lvl w:ilvl="0" w:tplc="2F66CDAE">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EDC3623"/>
    <w:multiLevelType w:val="hybridMultilevel"/>
    <w:tmpl w:val="3FAABB74"/>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7DE16F46"/>
    <w:multiLevelType w:val="hybridMultilevel"/>
    <w:tmpl w:val="821874C2"/>
    <w:lvl w:ilvl="0" w:tplc="C33C7926">
      <w:start w:val="1"/>
      <w:numFmt w:val="hebrew1"/>
      <w:lvlText w:val="%1."/>
      <w:lvlJc w:val="center"/>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600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60048&amp;lt;/CaseID&amp;gt;_x000d__x000a_        &amp;lt;CaseMonth&amp;gt;8&amp;lt;/CaseMonth&amp;gt;_x000d__x000a_        &amp;lt;CaseYear&amp;gt;2024&amp;lt;/CaseYear&amp;gt;_x000d__x000a_        &amp;lt;CaseNumber&amp;gt;23736&amp;lt;/CaseNumber&amp;gt;_x000d__x000a_        &amp;lt;NumeratorGroupID&amp;gt;1&amp;lt;/NumeratorGroupID&amp;gt;_x000d__x000a_        &amp;lt;CaseName&amp;gt;לוינסון נ&amp;#39; לוינסון&amp;lt;/CaseName&amp;gt;_x000d__x000a_        &amp;lt;CourtID&amp;gt;41&amp;lt;/CourtID&amp;gt;_x000d__x000a_        &amp;lt;CaseTypeID&amp;gt;15&amp;lt;/CaseTypeID&amp;gt;_x000d__x000a_        &amp;lt;CaseInterestID&amp;gt;139&amp;lt;/CaseInterestID&amp;gt;_x000d__x000a_        &amp;lt;CaseJudgeName&amp;gt;אריאל ממ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3736-08-24&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4-08-09T07:00:00+03:00&amp;lt;/CaseOpenDate&amp;gt;_x000d__x000a_        &amp;lt;PleaTypeID&amp;gt;4&amp;lt;/PleaTypeID&amp;gt;_x000d__x000a_        &amp;lt;CourtLevelID&amp;gt;1&amp;lt;/CourtLevelID&amp;gt;_x000d__x000a_        &amp;lt;CourtLevelCaseTypeInterestID&amp;gt;12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נעשו נסיונות מרובים להודיע תוכן החלטה לב&amp;quot;כ המבקש. אין מענה טלפוני בנייד ובמשרד. עו&amp;quot;ד שאול צפה בהחלטה בנט_x000d__x000a__x000d__x000a_11.8.24 לור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60048&amp;lt;/CaseID&amp;gt;_x000d__x000a_        &amp;lt;CaseMonth&amp;gt;8&amp;lt;/CaseMonth&amp;gt;_x000d__x000a_        &amp;lt;CaseYear&amp;gt;2024&amp;lt;/CaseYear&amp;gt;_x000d__x000a_        &amp;lt;CaseNumber&amp;gt;23736&amp;lt;/CaseNumber&amp;gt;_x000d__x000a_        &amp;lt;NumeratorGroupID&amp;gt;1&amp;lt;/NumeratorGroupID&amp;gt;_x000d__x000a_        &amp;lt;CaseName&amp;gt;לוינסון נ&amp;#39; לוינסון&amp;lt;/CaseName&amp;gt;_x000d__x000a_        &amp;lt;CourtID&amp;gt;41&amp;lt;/CourtID&amp;gt;_x000d__x000a_        &amp;lt;CaseTypeID&amp;gt;15&amp;lt;/CaseTypeID&amp;gt;_x000d__x000a_        &amp;lt;CaseInterestID&amp;gt;139&amp;lt;/CaseInterestID&amp;gt;_x000d__x000a_        &amp;lt;CaseJudgeName&amp;gt;אריאל ממ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3736-08-24&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142&amp;lt;/CaseNextDeterminingTask&amp;gt;_x000d__x000a_        &amp;lt;CaseOpenDate&amp;gt;2024-08-09T07:00:00+03:00&amp;lt;/CaseOpenDate&amp;gt;_x000d__x000a_        &amp;lt;PleaTypeID&amp;gt;4&amp;lt;/PleaTypeID&amp;gt;_x000d__x000a_        &amp;lt;CourtLevelID&amp;gt;1&amp;lt;/CourtLevelID&amp;gt;_x000d__x000a_        &amp;lt;CourtLevelCaseTypeInterestID&amp;gt;12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נעשו נסיונות מרובים להודיע תוכן החלטה לב&amp;quot;כ המבקש. אין מענה טלפוני בנייד ובמשרד. עו&amp;quot;ד שאול צפה בהחלטה בנט_x000d__x000a__x000d__x000a_11.8.24 לור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44160&amp;lt;/DecisionID&amp;gt;_x000d__x000a_        &amp;lt;DecisionName&amp;gt;פסק דין  שניתנה ע&amp;quot;י  אריאל ממן&amp;lt;/DecisionName&amp;gt;_x000d__x000a_        &amp;lt;DecisionStatusID&amp;gt;1&amp;lt;/DecisionStatusID&amp;gt;_x000d__x000a_        &amp;lt;DecisionStatusChangeDate&amp;gt;2024-10-11T00:22:56.797+03:00&amp;lt;/DecisionStatusChangeDate&amp;gt;_x000d__x000a_        &amp;lt;DecisionSignatureDate&amp;gt;2024-10-10T23:22:16.227+03:00&amp;lt;/DecisionSignatureDate&amp;gt;_x000d__x000a_        &amp;lt;DecisionSignatureUserID&amp;gt;036029429@GOV.IL&amp;lt;/DecisionSignatureUserID&amp;gt;_x000d__x000a_        &amp;lt;DecisionCreateDate&amp;gt;2024-10-10T23:23:10.877+03:00&amp;lt;/DecisionCreateDate&amp;gt;_x000d__x000a_        &amp;lt;DecisionChangeDate&amp;gt;2024-10-11T00:22:56.933+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68918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5444160&amp;lt;/DecisionID&amp;gt;_x000d__x000a_        &amp;lt;CaseID&amp;gt;81860048&amp;lt;/CaseID&amp;gt;_x000d__x000a_        &amp;lt;IsOriginal&amp;gt;true&amp;lt;/IsOriginal&amp;gt;_x000d__x000a_        &amp;lt;IsDeleted&amp;gt;false&amp;lt;/IsDeleted&amp;gt;_x000d__x000a_        &amp;lt;CaseName&amp;gt;לוינסון נ&amp;#39; לוינסון&amp;lt;/CaseName&amp;gt;_x000d__x000a_        &amp;lt;CaseDisplayIdentifier&amp;gt;23736-08-24 תמ&amp;quot;ש&amp;lt;/CaseDisplayIdentifier&amp;gt;_x000d__x000a_      &amp;lt;/dt_DecisionCase&amp;gt;_x000d__x000a_    &amp;lt;/DecisionDS&amp;gt;_x000d__x000a_  &amp;lt;/diffgr:diffgram&amp;gt;_x000d__x000a_&amp;lt;/DecisionDS&amp;gt;"/>
    <w:docVar w:name="DecisionID" w:val="155444160"/>
    <w:docVar w:name="WordClientAssemblyName" w:val="NGCS.Decision.ClientWordBL"/>
    <w:docVar w:name="WordClientClassName" w:val="NGCS.Decision.ClientWordBL.DecisionClient"/>
  </w:docVars>
  <w:rsids>
    <w:rsidRoot w:val="00694556"/>
    <w:rsid w:val="00005C8B"/>
    <w:rsid w:val="00007A5A"/>
    <w:rsid w:val="000146C2"/>
    <w:rsid w:val="00016C35"/>
    <w:rsid w:val="00017D0C"/>
    <w:rsid w:val="00021D59"/>
    <w:rsid w:val="0002582C"/>
    <w:rsid w:val="000258FD"/>
    <w:rsid w:val="00032FE0"/>
    <w:rsid w:val="00044BE1"/>
    <w:rsid w:val="000564AB"/>
    <w:rsid w:val="0008539F"/>
    <w:rsid w:val="000D4A02"/>
    <w:rsid w:val="000E36B7"/>
    <w:rsid w:val="000E6816"/>
    <w:rsid w:val="000E70D1"/>
    <w:rsid w:val="000E7265"/>
    <w:rsid w:val="00103CD8"/>
    <w:rsid w:val="00106FA5"/>
    <w:rsid w:val="001072A9"/>
    <w:rsid w:val="00121F97"/>
    <w:rsid w:val="001259A5"/>
    <w:rsid w:val="001277D7"/>
    <w:rsid w:val="00127B87"/>
    <w:rsid w:val="00132017"/>
    <w:rsid w:val="0014143A"/>
    <w:rsid w:val="0014234E"/>
    <w:rsid w:val="00145A87"/>
    <w:rsid w:val="00147E69"/>
    <w:rsid w:val="0015017B"/>
    <w:rsid w:val="001530BE"/>
    <w:rsid w:val="00180DCB"/>
    <w:rsid w:val="00190ECF"/>
    <w:rsid w:val="001A6E2A"/>
    <w:rsid w:val="001B3823"/>
    <w:rsid w:val="001C4003"/>
    <w:rsid w:val="001F28CD"/>
    <w:rsid w:val="001F3340"/>
    <w:rsid w:val="001F5474"/>
    <w:rsid w:val="0020081E"/>
    <w:rsid w:val="00215FD1"/>
    <w:rsid w:val="002352F7"/>
    <w:rsid w:val="002470D9"/>
    <w:rsid w:val="00252C14"/>
    <w:rsid w:val="00270931"/>
    <w:rsid w:val="00270A9C"/>
    <w:rsid w:val="0027277D"/>
    <w:rsid w:val="00284B38"/>
    <w:rsid w:val="00286104"/>
    <w:rsid w:val="00296577"/>
    <w:rsid w:val="00307E4C"/>
    <w:rsid w:val="003502B0"/>
    <w:rsid w:val="00381253"/>
    <w:rsid w:val="00381D3A"/>
    <w:rsid w:val="003823DA"/>
    <w:rsid w:val="003856E1"/>
    <w:rsid w:val="003A609E"/>
    <w:rsid w:val="003C0EC7"/>
    <w:rsid w:val="003E71D3"/>
    <w:rsid w:val="003F6681"/>
    <w:rsid w:val="0043595F"/>
    <w:rsid w:val="004412D7"/>
    <w:rsid w:val="00444FF5"/>
    <w:rsid w:val="00453504"/>
    <w:rsid w:val="0047645A"/>
    <w:rsid w:val="00486E06"/>
    <w:rsid w:val="00493155"/>
    <w:rsid w:val="004D49A3"/>
    <w:rsid w:val="004D50AC"/>
    <w:rsid w:val="004E3A10"/>
    <w:rsid w:val="004E6E3C"/>
    <w:rsid w:val="004E7E60"/>
    <w:rsid w:val="004F0581"/>
    <w:rsid w:val="005124F1"/>
    <w:rsid w:val="00514EC6"/>
    <w:rsid w:val="00530BAD"/>
    <w:rsid w:val="00541598"/>
    <w:rsid w:val="00543511"/>
    <w:rsid w:val="00547DB7"/>
    <w:rsid w:val="00567324"/>
    <w:rsid w:val="005933FD"/>
    <w:rsid w:val="005A6750"/>
    <w:rsid w:val="005B0F49"/>
    <w:rsid w:val="005B613E"/>
    <w:rsid w:val="005C7EC6"/>
    <w:rsid w:val="005D206B"/>
    <w:rsid w:val="005D4BDB"/>
    <w:rsid w:val="005F43D4"/>
    <w:rsid w:val="00610D08"/>
    <w:rsid w:val="00622BAA"/>
    <w:rsid w:val="00625C89"/>
    <w:rsid w:val="00633C4F"/>
    <w:rsid w:val="00641F32"/>
    <w:rsid w:val="0066327D"/>
    <w:rsid w:val="00671BD5"/>
    <w:rsid w:val="006805C1"/>
    <w:rsid w:val="006816EC"/>
    <w:rsid w:val="00694556"/>
    <w:rsid w:val="006A2169"/>
    <w:rsid w:val="006D2481"/>
    <w:rsid w:val="006E1A53"/>
    <w:rsid w:val="007046B0"/>
    <w:rsid w:val="007056AA"/>
    <w:rsid w:val="00731A0E"/>
    <w:rsid w:val="00733C13"/>
    <w:rsid w:val="0074175F"/>
    <w:rsid w:val="00744F41"/>
    <w:rsid w:val="0076156C"/>
    <w:rsid w:val="0077308E"/>
    <w:rsid w:val="00773F84"/>
    <w:rsid w:val="00794325"/>
    <w:rsid w:val="007A24FE"/>
    <w:rsid w:val="007A35AA"/>
    <w:rsid w:val="007A6FA3"/>
    <w:rsid w:val="007C0F47"/>
    <w:rsid w:val="007D07AF"/>
    <w:rsid w:val="007E010A"/>
    <w:rsid w:val="007E346A"/>
    <w:rsid w:val="007F1048"/>
    <w:rsid w:val="00812026"/>
    <w:rsid w:val="008137BC"/>
    <w:rsid w:val="00820005"/>
    <w:rsid w:val="0082251B"/>
    <w:rsid w:val="008232FA"/>
    <w:rsid w:val="008322AF"/>
    <w:rsid w:val="00846D27"/>
    <w:rsid w:val="00851857"/>
    <w:rsid w:val="008610A7"/>
    <w:rsid w:val="008822E9"/>
    <w:rsid w:val="00887B95"/>
    <w:rsid w:val="00895E73"/>
    <w:rsid w:val="008B0B15"/>
    <w:rsid w:val="008E1332"/>
    <w:rsid w:val="008E66E3"/>
    <w:rsid w:val="008F26F1"/>
    <w:rsid w:val="00903896"/>
    <w:rsid w:val="00906C61"/>
    <w:rsid w:val="009076AD"/>
    <w:rsid w:val="00916532"/>
    <w:rsid w:val="00927813"/>
    <w:rsid w:val="00941D3D"/>
    <w:rsid w:val="00944D13"/>
    <w:rsid w:val="00950198"/>
    <w:rsid w:val="00953C0A"/>
    <w:rsid w:val="00957C90"/>
    <w:rsid w:val="00962C19"/>
    <w:rsid w:val="009863FF"/>
    <w:rsid w:val="00991A03"/>
    <w:rsid w:val="009B70F6"/>
    <w:rsid w:val="009C358E"/>
    <w:rsid w:val="009E0263"/>
    <w:rsid w:val="009F2085"/>
    <w:rsid w:val="00A044B3"/>
    <w:rsid w:val="00A267CF"/>
    <w:rsid w:val="00A342BD"/>
    <w:rsid w:val="00A41A58"/>
    <w:rsid w:val="00A43458"/>
    <w:rsid w:val="00A65B57"/>
    <w:rsid w:val="00A74D3B"/>
    <w:rsid w:val="00A82D17"/>
    <w:rsid w:val="00A85E62"/>
    <w:rsid w:val="00AB05CD"/>
    <w:rsid w:val="00AC4E19"/>
    <w:rsid w:val="00AC7641"/>
    <w:rsid w:val="00AD3724"/>
    <w:rsid w:val="00AD798D"/>
    <w:rsid w:val="00AD7A83"/>
    <w:rsid w:val="00AE777A"/>
    <w:rsid w:val="00AF1ED6"/>
    <w:rsid w:val="00B05D2F"/>
    <w:rsid w:val="00B131D1"/>
    <w:rsid w:val="00B32C61"/>
    <w:rsid w:val="00B33694"/>
    <w:rsid w:val="00B368FE"/>
    <w:rsid w:val="00B6130E"/>
    <w:rsid w:val="00B74E95"/>
    <w:rsid w:val="00B80CBD"/>
    <w:rsid w:val="00B846DB"/>
    <w:rsid w:val="00B96758"/>
    <w:rsid w:val="00BA00D6"/>
    <w:rsid w:val="00BC3369"/>
    <w:rsid w:val="00BC6AA7"/>
    <w:rsid w:val="00BE4788"/>
    <w:rsid w:val="00BF77EE"/>
    <w:rsid w:val="00C32E0F"/>
    <w:rsid w:val="00C40E3B"/>
    <w:rsid w:val="00C42BF9"/>
    <w:rsid w:val="00C83E56"/>
    <w:rsid w:val="00CC63CE"/>
    <w:rsid w:val="00CE3A7E"/>
    <w:rsid w:val="00CF3710"/>
    <w:rsid w:val="00D244E7"/>
    <w:rsid w:val="00D319B3"/>
    <w:rsid w:val="00D36A71"/>
    <w:rsid w:val="00D53924"/>
    <w:rsid w:val="00D54BB3"/>
    <w:rsid w:val="00D56B7D"/>
    <w:rsid w:val="00D60849"/>
    <w:rsid w:val="00D63559"/>
    <w:rsid w:val="00D637EB"/>
    <w:rsid w:val="00D96D8C"/>
    <w:rsid w:val="00D9710E"/>
    <w:rsid w:val="00DA7094"/>
    <w:rsid w:val="00DA755B"/>
    <w:rsid w:val="00DD337E"/>
    <w:rsid w:val="00E00B6F"/>
    <w:rsid w:val="00E03CA7"/>
    <w:rsid w:val="00E44DDF"/>
    <w:rsid w:val="00E50C4C"/>
    <w:rsid w:val="00E54642"/>
    <w:rsid w:val="00E72209"/>
    <w:rsid w:val="00E97908"/>
    <w:rsid w:val="00EB3931"/>
    <w:rsid w:val="00EB4033"/>
    <w:rsid w:val="00EF284A"/>
    <w:rsid w:val="00EF3ED0"/>
    <w:rsid w:val="00F104C6"/>
    <w:rsid w:val="00F17E56"/>
    <w:rsid w:val="00F209D7"/>
    <w:rsid w:val="00F307CF"/>
    <w:rsid w:val="00F43DAF"/>
    <w:rsid w:val="00F8253F"/>
    <w:rsid w:val="00F828C0"/>
    <w:rsid w:val="00FB01E9"/>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D7A83"/>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P00">
    <w:name w:val="P00"/>
    <w:rsid w:val="00AD7A83"/>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paragraph" w:customStyle="1" w:styleId="P01">
    <w:name w:val="P01"/>
    <w:basedOn w:val="P00"/>
    <w:rsid w:val="00AD7A83"/>
    <w:pPr>
      <w:ind w:right="624" w:hanging="624"/>
    </w:pPr>
  </w:style>
  <w:style w:type="paragraph" w:customStyle="1" w:styleId="P11">
    <w:name w:val="P11"/>
    <w:basedOn w:val="P00"/>
    <w:rsid w:val="00AD7A83"/>
    <w:pPr>
      <w:tabs>
        <w:tab w:val="clear" w:pos="624"/>
      </w:tabs>
      <w:ind w:right="624"/>
    </w:pPr>
  </w:style>
  <w:style w:type="character" w:customStyle="1" w:styleId="default">
    <w:name w:val="default"/>
    <w:basedOn w:val="a0"/>
    <w:rsid w:val="00AD7A83"/>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594822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0375C"/>
    <w:rsid w:val="00200BA6"/>
    <w:rsid w:val="006E7697"/>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ללי גרשנזון</FullName>
        <FirstName>ללי</FirstName>
        <LastName>גרשנזון</LastName>
        <PartyPropertyName/>
        <AuthenticationTypeAndNumber>ת"ז 017594409</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276265625</CasePartyID>
        <PartyTypeID>5</PartyTypeID>
        <ActivityStatusID>1</ActivityStatusID>
        <PartyAliasID>102</PartyAliasID>
        <PartyAliasName>מומחה בית משפט</PartyAliasName>
        <LegalEntityID>70340210</LegalEntityID>
        <CaseLegalEntityID>131840337</CaseLegalEntityID>
        <AuthenticationTypeID>1</AuthenticationTypeID>
        <AuthenticationTypeName>ת"ז</AuthenticationTypeName>
        <LegalEntityNumber>017594409</LegalEntityNumber>
        <IsMainPartyType>true</IsMainPartyType>
        <CaseDisplayIdentifier>23736-08-24</CaseDisplayIdentifier>
        <CaseTypeID>15</CaseTypeID>
        <CaseTypeName>תיק משפחה (תמ"ש)</CaseTypeName>
        <CaseName>לוינסון נ' לוינסון</CaseName>
        <FullAddress>לב העיר 14 מודיעין-מכבים-רעות* "בית יהונתן"קומה 5 קניון עזריאלי</FullAddress>
        <EmailAddress>lalidea@bezeqint.net</EmailAddress>
        <MotionID>0</MotionID>
        <CasePleaID>0</CasePleaID>
        <FatherName xml:space="preserve">        </FatherName>
        <LinkedCaseID>0</LinkedCaseID>
        <CasePartyCategoryID>1</CasePartyCategoryID>
        <LegalEntityAddressID>78606833</LegalEntityAddressID>
        <LegalEntityEmailAddressID>68100995</LegalEntityEmailAddressID>
        <PleaTypeID>4</PleaTypeID>
        <GroupPartyAlias/>
        <IsConverted>false</IsConverted>
        <LegalEntityNameID>72872951</LegalEntityNameID>
        <RepresentatedNamesOfAssistant/>
        <LegalEntityTypeID>6</LegalEntityTypeID>
        <IsVerdictExists>false</IsVerdictExists>
        <IsAsirAzir>false</IsAsirAzir>
        <MainAndSecSpec/>
        <IsPublicationProhibited>false</IsPublicationProhibited>
        <PublicationProhibitedFullName>ללי גרשנזון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אטיאס</FullName>
        <FirstName>אברהם</FirstName>
        <LastName>אטיאס</LastName>
        <PartyPropertyName/>
        <AuthenticationTypeAndNumber>מ.ר. 54597</AuthenticationTypeAndNumber>
        <RepresentatedOrRepresentativesNames>רחל אלישבע לוינסון</RepresentatedOrRepresentativesNames>
        <RepresentatedOrRepresentativesCount>1</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276232802</CasePartyID>
        <PartyTypeID>2</PartyTypeID>
        <ActivityStatusID>1</ActivityStatusID>
        <PartyAliasID>21</PartyAliasID>
        <PartyAliasName>בא כוח נתבעים</PartyAliasName>
        <LegalEntityID>69599006</LegalEntityID>
        <CaseLegalEntityID>131828714</CaseLegalEntityID>
        <AuthenticationTypeID>4</AuthenticationTypeID>
        <AuthenticationTypeName>מ.ר.</AuthenticationTypeName>
        <LegalEntityNumber>54597</LegalEntityNumber>
        <IsMainPartyType>true</IsMainPartyType>
        <CaseDisplayIdentifier>23736-08-24</CaseDisplayIdentifier>
        <CaseTypeID>15</CaseTypeID>
        <CaseTypeName>תיק משפחה (תמ"ש)</CaseTypeName>
        <CaseName>לוינסון נ' לוינסון</CaseName>
        <FullAddress>בית הדפוס 11 ירושלים לובי 2 קומה 3</FullAddress>
        <EmailAddress>a.attias.adv@gmail.com</EmailAddress>
        <MotionID>0</MotionID>
        <CasePleaID>0</CasePleaID>
        <LinkedCaseID>0</LinkedCaseID>
        <PartyID>2</PartyID>
        <CasePartyCategoryID>2</CasePartyCategoryID>
        <LegalEntityAddressID>76414915</LegalEntityAddressID>
        <LegalEntityEmailAddressID>67829625</LegalEntityEmailAddressID>
        <PleaTypeID>4</PleaTypeID>
        <LawyerOfficeName>משרד עו"ד אברהם אטיאס</LawyerOfficeName>
        <LawyerOfficeID>69599007</LawyerOfficeID>
        <GroupPartyAlias/>
        <IsConverted>false</IsConverted>
        <LegalEntityNameID>71606401</LegalEntityNameID>
        <RepresentatedNamesOfAssistant/>
        <LegalEntityTypeID>4</LegalEntityTypeID>
        <IsVerdictExists>false</IsVerdictExists>
        <IsAsirAzir>false</IsAsirAzir>
        <MainAndSecSpec/>
        <IsPublicationProhibited>false</IsPublicationProhibited>
        <PublicationProhibitedFullName>אברהם אטיאס</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276172156</CasePartyID>
        <PartyTypeID>3</PartyTypeID>
        <ActivityStatusID>1</ActivityStatusID>
        <OrdinalNumber>1</OrdinalNumber>
        <LegalEntityID>33199120</LegalEntityID>
        <CaseLegalEntityID>131807051</CaseLegalEntityID>
        <AssistantRoleID>20</AssistantRoleID>
        <AuthenticationTypeID>13</AuthenticationTypeID>
        <AuthenticationTypeName>משרדי ממשלה</AuthenticationTypeName>
        <LegalEntityNumber>570000883</LegalEntityNumber>
        <IsMainPartyType>true</IsMainPartyType>
        <CaseDisplayIdentifier>23736-08-24</CaseDisplayIdentifier>
        <CaseTypeID>15</CaseTypeID>
        <CaseTypeName>תיק משפחה (תמ"ש)</CaseTypeName>
        <CaseName>לוינסון נ' לוינסון</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MainAndSecSpec/>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מרדכי לוינסון</FullName>
        <FirstName>מרדכי</FirstName>
        <LastName>לוינסון</LastName>
        <PartyPropertyName/>
        <AuthenticationTypeAndNumber>ת"ז 204653406</AuthenticationTypeAndNumber>
        <RepresentatedOrRepresentativesNames>שאול נפתלין</RepresentatedOrRepresentativesNames>
        <RepresentatedOrRepresentativesCount>1</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276172157</CasePartyID>
        <PartyTypeID>1</PartyTypeID>
        <ActivityStatusID>1</ActivityStatusID>
        <PartyAliasID>1</PartyAliasID>
        <PartyAliasName>תובע</PartyAliasName>
        <OrdinalNumber>1</OrdinalNumber>
        <LegalEntityID>82899434</LegalEntityID>
        <CaseLegalEntityID>131807052</CaseLegalEntityID>
        <AuthenticationTypeID>1</AuthenticationTypeID>
        <AuthenticationTypeName>ת"ז</AuthenticationTypeName>
        <LegalEntityNumber>204653406</LegalEntityNumber>
        <IsMainPartyType>true</IsMainPartyType>
        <CaseDisplayIdentifier>23736-08-24</CaseDisplayIdentifier>
        <CaseTypeID>15</CaseTypeID>
        <CaseTypeName>תיק משפחה (תמ"ש)</CaseTypeName>
        <CaseName>לוינסון נ' לוינסון</CaseName>
        <FullAddress>תלמוד בבלי 16 בית שמש </FullAddress>
        <MotionID>0</MotionID>
        <CasePleaID>0</CasePleaID>
        <FatherName>מיכאל</FatherName>
        <LinkedCaseID>0</LinkedCaseID>
        <PartyID>1</PartyID>
        <CasePartyCategoryID>2</CasePartyCategoryID>
        <LegalEntityAddressID>90818677</LegalEntityAddressID>
        <PleaTypeID>4</PleaTypeID>
        <GroupPartyAlias>תובעים</GroupPartyAlias>
        <IsConverted>false</IsConverted>
        <LegalEntityRegisteredNameID>10850603</LegalEntityRegisteredNameID>
        <LegalEntityNameID>98046267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מרדכי לוינסון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שאול נפתלין</FullName>
        <FirstName>שאול</FirstName>
        <LastName>נפתלין</LastName>
        <PartyPropertyName/>
        <AuthenticationTypeAndNumber>מ.ר. 42753</AuthenticationTypeAndNumber>
        <RepresentatedOrRepresentativesNames>מרדכי לוינסון</RepresentatedOrRepresentativesNames>
        <RepresentatedOrRepresentativesCount>1</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276172158</CasePartyID>
        <PartyTypeID>2</PartyTypeID>
        <ActivityStatusID>1</ActivityStatusID>
        <PartyAliasID>20</PartyAliasID>
        <PartyAliasName>בא כוח תובעים</PartyAliasName>
        <OrdinalNumber>1</OrdinalNumber>
        <LegalEntityID>418664</LegalEntityID>
        <CaseLegalEntityID>131807053</CaseLegalEntityID>
        <AuthenticationTypeID>4</AuthenticationTypeID>
        <AuthenticationTypeName>מ.ר.</AuthenticationTypeName>
        <LegalEntityNumber>42753</LegalEntityNumber>
        <IsMainPartyType>true</IsMainPartyType>
        <CaseDisplayIdentifier>23736-08-24</CaseDisplayIdentifier>
        <CaseTypeID>15</CaseTypeID>
        <CaseTypeName>תיק משפחה (תמ"ש)</CaseTypeName>
        <CaseName>לוינסון נ' לוינסון</CaseName>
        <FullAddress>קדושת אהרון 8\17 ירושלים </FullAddress>
        <EmailAddress>naftalinlaw@gmail.com</EmailAddress>
        <MotionID>0</MotionID>
        <CasePleaID>0</CasePleaID>
        <LinkedCaseID>0</LinkedCaseID>
        <PartyID>1</PartyID>
        <CasePartyCategoryID>2</CasePartyCategoryID>
        <LegalEntityAddressID>82680167</LegalEntityAddressID>
        <LegalEntityEmailAddressID>68023750</LegalEntityEmailAddressID>
        <PleaTypeID>4</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MainAndSecSpec/>
        <IsPublicationProhibited>false</IsPublicationProhibited>
        <PublicationProhibitedFullName>שאול נפתלין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הרב מרדכי שיינין</FullName>
        <FirstName>הרב מרדכי</FirstName>
        <LastName>שיינין</LastName>
        <PartyPropertyName/>
        <AuthenticationTypeAndNumber>ת"ז </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276651625</CasePartyID>
        <PartyTypeID>4</PartyTypeID>
        <ActivityStatusID>1</ActivityStatusID>
        <PartyAliasID>62</PartyAliasID>
        <PartyAliasName>עד הגנה</PartyAliasName>
        <OrdinalNumber>1</OrdinalNumber>
        <LegalEntityID>82924809</LegalEntityID>
        <CaseLegalEntityID>131990020</CaseLegalEntityID>
        <AuthenticationTypeID>1</AuthenticationTypeID>
        <AuthenticationTypeName>ת"ז</AuthenticationTypeName>
        <IsMainPartyType>true</IsMainPartyType>
        <CaseDisplayIdentifier>23736-08-24</CaseDisplayIdentifier>
        <CaseTypeID>15</CaseTypeID>
        <CaseTypeName>תיק משפחה (תמ"ש)</CaseTypeName>
        <CaseName>לוינסון נ' לוינסון</CaseName>
        <FullAddress>חיי יצחק 21 ביתר עילית </FullAddress>
        <MotionID>0</MotionID>
        <CasePleaID>0</CasePleaID>
        <LinkedCaseID>0</LinkedCaseID>
        <PartyID>2</PartyID>
        <CasePartyCategoryID>2</CasePartyCategoryID>
        <LegalEntityAddressID>90871804</LegalEntityAddressID>
        <PleaTypeID>4</PleaTypeID>
        <GroupPartyAlias/>
        <IsConverted>false</IsConverted>
        <LegalEntityNameID>98112065</LegalEntityNameID>
        <RepresentatedNamesOfAssistant/>
        <LegalEntityTypeID>1</LegalEntityTypeID>
        <IsVerdictExists>false</IsVerdictExists>
        <IsAsirAzir>false</IsAsirAzir>
        <MainAndSecSpec/>
        <IsPublicationProhibited>false</IsPublicationProhibited>
        <PublicationProhibitedFullName>הרב מרדכי שיינין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אלישבע לוינסון</FullName>
        <FirstName>רחל אלישבע</FirstName>
        <LastName>לוינסון</LastName>
        <PartyPropertyName/>
        <AuthenticationTypeAndNumber>ת"ז 311989818</AuthenticationTypeAndNumber>
        <RepresentatedOrRepresentativesNames>אברהם אטיאס</RepresentatedOrRepresentativesNames>
        <RepresentatedOrRepresentativesCount>1</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276172159</CasePartyID>
        <PartyTypeID>1</PartyTypeID>
        <ActivityStatusID>1</ActivityStatusID>
        <PartyAliasID>2</PartyAliasID>
        <PartyAliasName>נתבע</PartyAliasName>
        <OrdinalNumber>1</OrdinalNumber>
        <LegalEntityID>82899435</LegalEntityID>
        <CaseLegalEntityID>131807054</CaseLegalEntityID>
        <AuthenticationTypeID>1</AuthenticationTypeID>
        <AuthenticationTypeName>ת"ז</AuthenticationTypeName>
        <LegalEntityNumber>311989818</LegalEntityNumber>
        <IsMainPartyType>true</IsMainPartyType>
        <CaseDisplayIdentifier>23736-08-24</CaseDisplayIdentifier>
        <CaseTypeID>15</CaseTypeID>
        <CaseTypeName>תיק משפחה (תמ"ש)</CaseTypeName>
        <CaseName>לוינסון נ' לוינסון</CaseName>
        <FullAddress>לשם 7 ערד </FullAddress>
        <MotionID>0</MotionID>
        <CasePleaID>0</CasePleaID>
        <FatherName>עקיבא</FatherName>
        <LinkedCaseID>0</LinkedCaseID>
        <PartyID>2</PartyID>
        <CasePartyCategoryID>2</CasePartyCategoryID>
        <LegalEntityAddressID>90818678</LegalEntityAddressID>
        <PleaTypeID>4</PleaTypeID>
        <GroupPartyAlias>נתבעים</GroupPartyAlias>
        <IsConverted>false</IsConverted>
        <LegalEntityRegisteredNameID>10850604</LegalEntityRegisteredNameID>
        <LegalEntityNameID>98046268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אלישבע לוינסון</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רב ישעיהו דוד רובין</FullName>
        <FirstName>רב ישעיהו דוד</FirstName>
        <LastName>רובין</LastName>
        <PartyPropertyName/>
        <AuthenticationTypeAndNumber>ת"ז </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276651767</CasePartyID>
        <PartyTypeID>4</PartyTypeID>
        <ActivityStatusID>1</ActivityStatusID>
        <PartyAliasID>62</PartyAliasID>
        <PartyAliasName>עד הגנה</PartyAliasName>
        <OrdinalNumber>2</OrdinalNumber>
        <LegalEntityID>82924816</LegalEntityID>
        <CaseLegalEntityID>131990062</CaseLegalEntityID>
        <AuthenticationTypeID>1</AuthenticationTypeID>
        <AuthenticationTypeName>ת"ז</AuthenticationTypeName>
        <IsMainPartyType>true</IsMainPartyType>
        <CaseDisplayIdentifier>23736-08-24</CaseDisplayIdentifier>
        <CaseTypeID>15</CaseTypeID>
        <CaseTypeName>תיק משפחה (תמ"ש)</CaseTypeName>
        <CaseName>לוינסון נ' לוינסון</CaseName>
        <FullAddress>יוזמן עי הנתבעת  .</FullAddress>
        <MotionID>0</MotionID>
        <CasePleaID>0</CasePleaID>
        <LinkedCaseID>0</LinkedCaseID>
        <PartyID>2</PartyID>
        <CasePartyCategoryID>2</CasePartyCategoryID>
        <LegalEntityAddressID>90871821</LegalEntityAddressID>
        <PleaTypeID>4</PleaTypeID>
        <GroupPartyAlias/>
        <IsConverted>false</IsConverted>
        <LegalEntityNameID>98112083</LegalEntityNameID>
        <RepresentatedNamesOfAssistant/>
        <LegalEntityTypeID>1</LegalEntityTypeID>
        <IsVerdictExists>false</IsVerdictExists>
        <IsAsirAzir>false</IsAsirAzir>
        <MainAndSecSpec/>
        <IsPublicationProhibited>false</IsPublicationProhibited>
        <PublicationProhibitedFullName>רב ישעיהו דוד רובין</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הרב יעקב אונגר</FullName>
        <FirstName>הרב יעקב</FirstName>
        <LastName>אונגר</LastName>
        <PartyPropertyName/>
        <AuthenticationTypeAndNumber>ת"ז </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276651846</CasePartyID>
        <PartyTypeID>4</PartyTypeID>
        <ActivityStatusID>1</ActivityStatusID>
        <PartyAliasID>101</PartyAliasID>
        <PartyAliasName>עד בית משפט</PartyAliasName>
        <OrdinalNumber>3</OrdinalNumber>
        <LegalEntityID>82924818</LegalEntityID>
        <CaseLegalEntityID>131990076</CaseLegalEntityID>
        <AuthenticationTypeID>1</AuthenticationTypeID>
        <AuthenticationTypeName>ת"ז</AuthenticationTypeName>
        <IsMainPartyType>true</IsMainPartyType>
        <CaseDisplayIdentifier>23736-08-24</CaseDisplayIdentifier>
        <CaseTypeID>15</CaseTypeID>
        <CaseTypeName>תיק משפחה (תמ"ש)</CaseTypeName>
        <CaseName>לוינסון נ' לוינסון</CaseName>
        <FullAddress>יוזמן עי הנתבעת  .</FullAddress>
        <MotionID>0</MotionID>
        <CasePleaID>0</CasePleaID>
        <LinkedCaseID>0</LinkedCaseID>
        <PartyID>2</PartyID>
        <CasePartyCategoryID>2</CasePartyCategoryID>
        <LegalEntityAddressID>90871826</LegalEntityAddressID>
        <PleaTypeID>4</PleaTypeID>
        <GroupPartyAlias/>
        <IsConverted>false</IsConverted>
        <LegalEntityNameID>98112089</LegalEntityNameID>
        <RepresentatedNamesOfAssistant/>
        <LegalEntityTypeID>1</LegalEntityTypeID>
        <IsVerdictExists>false</IsVerdictExists>
        <IsAsirAzir>false</IsAsirAzir>
        <MainAndSecSpec/>
        <IsPublicationProhibited>false</IsPublicationProhibited>
        <PublicationProhibitedFullName>הרב יעקב אונגר</PublicationProhibitedFullName>
      </CaseParties>
    </CasePartiesSelectionDS>
    <DecisionName>פסק דין  שניתנה ע"י  אריאל ממן</DecisionName>
    <CourtDisplayName>בית משפט לענייני משפחה בבאר שבע</CourtDisplayName>
    <IsCaseJudgePanel>false</IsCaseJudgePanel>
    <DecisionSignatureDate>2024-10-10T23:22:16.226017+03:00</DecisionSignatureDate>
    <OpenCaseDate>2024-08-09T07:00:00+03:00</OpenCaseDate>
    <CaseFeeSum>0.000</CaseFeeSum>
    <DecisionTypeID>2</DecisionTypeID>
    <DecisionSignatureUserName>אריאל ממן</DecisionSignatureUserName>
    <DecisionSignatureDateHebrew>2024-10-10T23:22:16.226017+03:00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לוינסון נ' לוינסון</CaseName>
    <DecisionNumberInCase>19</DecisionNumberInCase>
  </dt_Decision>
  <dt_DecisionCase>
    <DecisionID>0</DecisionID>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ללי גרשנזון</FullName>
        <FirstName>ללי</FirstName>
        <LastName>גרשנזון</LastName>
        <PartyPropertyName/>
        <AuthenticationTypeAndNumber>ת"ז 017594409</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276265625</CasePartyID>
        <PartyTypeID>5</PartyTypeID>
        <ActivityStatusID>1</ActivityStatusID>
        <PartyAliasID>102</PartyAliasID>
        <PartyAliasName>מומחה בית משפט</PartyAliasName>
        <LegalEntityID>70340210</LegalEntityID>
        <CaseLegalEntityID>131840337</CaseLegalEntityID>
        <AuthenticationTypeID>1</AuthenticationTypeID>
        <AuthenticationTypeName>ת"ז</AuthenticationTypeName>
        <LegalEntityNumber>017594409</LegalEntityNumber>
        <IsMainPartyType>true</IsMainPartyType>
        <CaseDisplayIdentifier>23736-08-24</CaseDisplayIdentifier>
        <CaseTypeID>15</CaseTypeID>
        <CaseTypeName>תיק משפחה (תמ"ש)</CaseTypeName>
        <CaseName>לוינסון נ' לוינסון</CaseName>
        <FullAddress>לב העיר 14 מודיעין-מכבים-רעות* "בית יהונתן"קומה 5 קניון עזריאלי</FullAddress>
        <EmailAddress>lalidea@bezeqint.net</EmailAddress>
        <MotionID>0</MotionID>
        <CasePleaID>0</CasePleaID>
        <FatherName xml:space="preserve">        </FatherName>
        <LinkedCaseID>0</LinkedCaseID>
        <CasePartyCategoryID>1</CasePartyCategoryID>
        <LegalEntityAddressID>78606833</LegalEntityAddressID>
        <LegalEntityEmailAddressID>68100995</LegalEntityEmailAddressID>
        <PleaTypeID>4</PleaTypeID>
        <GroupPartyAlias/>
        <IsConverted>false</IsConverted>
        <LegalEntityNameID>72872951</LegalEntityNameID>
        <RepresentatedNamesOfAssistant/>
        <LegalEntityTypeID>6</LegalEntityTypeID>
        <IsVerdictExists>false</IsVerdictExists>
        <IsAsirAzir>false</IsAsirAzir>
        <MainAndSecSpec/>
        <IsPublicationProhibited>false</IsPublicationProhibited>
        <PublicationProhibitedFullName>ללי גרשנזון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אטיאס</FullName>
        <FirstName>אברהם</FirstName>
        <LastName>אטיאס</LastName>
        <PartyPropertyName/>
        <AuthenticationTypeAndNumber>מ.ר. 54597</AuthenticationTypeAndNumber>
        <RepresentatedOrRepresentativesNames>רחל אלישבע לוינסון</RepresentatedOrRepresentativesNames>
        <RepresentatedOrRepresentativesCount>1</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276232802</CasePartyID>
        <PartyTypeID>2</PartyTypeID>
        <ActivityStatusID>1</ActivityStatusID>
        <PartyAliasID>21</PartyAliasID>
        <PartyAliasName>בא כוח נתבעים</PartyAliasName>
        <LegalEntityID>69599006</LegalEntityID>
        <CaseLegalEntityID>131828714</CaseLegalEntityID>
        <AuthenticationTypeID>4</AuthenticationTypeID>
        <AuthenticationTypeName>מ.ר.</AuthenticationTypeName>
        <LegalEntityNumber>54597</LegalEntityNumber>
        <IsMainPartyType>true</IsMainPartyType>
        <CaseDisplayIdentifier>23736-08-24</CaseDisplayIdentifier>
        <CaseTypeID>15</CaseTypeID>
        <CaseTypeName>תיק משפחה (תמ"ש)</CaseTypeName>
        <CaseName>לוינסון נ' לוינסון</CaseName>
        <FullAddress>בית הדפוס 11 ירושלים לובי 2 קומה 3</FullAddress>
        <EmailAddress>a.attias.adv@gmail.com</EmailAddress>
        <MotionID>0</MotionID>
        <CasePleaID>0</CasePleaID>
        <LinkedCaseID>0</LinkedCaseID>
        <PartyID>2</PartyID>
        <CasePartyCategoryID>2</CasePartyCategoryID>
        <LegalEntityAddressID>76414915</LegalEntityAddressID>
        <LegalEntityEmailAddressID>67829625</LegalEntityEmailAddressID>
        <PleaTypeID>4</PleaTypeID>
        <LawyerOfficeName>משרד עו"ד אברהם אטיאס</LawyerOfficeName>
        <LawyerOfficeID>69599007</LawyerOfficeID>
        <GroupPartyAlias/>
        <IsConverted>false</IsConverted>
        <LegalEntityNameID>71606401</LegalEntityNameID>
        <RepresentatedNamesOfAssistant/>
        <LegalEntityTypeID>4</LegalEntityTypeID>
        <IsVerdictExists>false</IsVerdictExists>
        <IsAsirAzir>false</IsAsirAzir>
        <MainAndSecSpec/>
        <IsPublicationProhibited>false</IsPublicationProhibited>
        <PublicationProhibitedFullName>אברהם אטיאס</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276172156</CasePartyID>
        <PartyTypeID>3</PartyTypeID>
        <ActivityStatusID>1</ActivityStatusID>
        <OrdinalNumber>1</OrdinalNumber>
        <LegalEntityID>33199120</LegalEntityID>
        <CaseLegalEntityID>131807051</CaseLegalEntityID>
        <AssistantRoleID>20</AssistantRoleID>
        <AuthenticationTypeID>13</AuthenticationTypeID>
        <AuthenticationTypeName>משרדי ממשלה</AuthenticationTypeName>
        <LegalEntityNumber>570000883</LegalEntityNumber>
        <IsMainPartyType>true</IsMainPartyType>
        <CaseDisplayIdentifier>23736-08-24</CaseDisplayIdentifier>
        <CaseTypeID>15</CaseTypeID>
        <CaseTypeName>תיק משפחה (תמ"ש)</CaseTypeName>
        <CaseName>לוינסון נ' לוינסון</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MainAndSecSpec/>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מרדכי לוינסון</FullName>
        <FirstName>מרדכי</FirstName>
        <LastName>לוינסון</LastName>
        <PartyPropertyName/>
        <AuthenticationTypeAndNumber>ת"ז 204653406</AuthenticationTypeAndNumber>
        <RepresentatedOrRepresentativesNames>שאול נפתלין</RepresentatedOrRepresentativesNames>
        <RepresentatedOrRepresentativesCount>1</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276172157</CasePartyID>
        <PartyTypeID>1</PartyTypeID>
        <ActivityStatusID>1</ActivityStatusID>
        <PartyAliasID>1</PartyAliasID>
        <PartyAliasName>תובע</PartyAliasName>
        <OrdinalNumber>1</OrdinalNumber>
        <LegalEntityID>82899434</LegalEntityID>
        <CaseLegalEntityID>131807052</CaseLegalEntityID>
        <AuthenticationTypeID>1</AuthenticationTypeID>
        <AuthenticationTypeName>ת"ז</AuthenticationTypeName>
        <LegalEntityNumber>204653406</LegalEntityNumber>
        <IsMainPartyType>true</IsMainPartyType>
        <CaseDisplayIdentifier>23736-08-24</CaseDisplayIdentifier>
        <CaseTypeID>15</CaseTypeID>
        <CaseTypeName>תיק משפחה (תמ"ש)</CaseTypeName>
        <CaseName>לוינסון נ' לוינסון</CaseName>
        <FullAddress>תלמוד בבלי 16 בית שמש </FullAddress>
        <MotionID>0</MotionID>
        <CasePleaID>0</CasePleaID>
        <FatherName>מיכאל</FatherName>
        <LinkedCaseID>0</LinkedCaseID>
        <PartyID>1</PartyID>
        <CasePartyCategoryID>2</CasePartyCategoryID>
        <LegalEntityAddressID>90818677</LegalEntityAddressID>
        <PleaTypeID>4</PleaTypeID>
        <GroupPartyAlias>תובעים</GroupPartyAlias>
        <IsConverted>false</IsConverted>
        <LegalEntityRegisteredNameID>10850603</LegalEntityRegisteredNameID>
        <LegalEntityNameID>98046267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מרדכי לוינסון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שאול נפתלין</FullName>
        <FirstName>שאול</FirstName>
        <LastName>נפתלין</LastName>
        <PartyPropertyName/>
        <AuthenticationTypeAndNumber>מ.ר. 42753</AuthenticationTypeAndNumber>
        <RepresentatedOrRepresentativesNames>מרדכי לוינסון</RepresentatedOrRepresentativesNames>
        <RepresentatedOrRepresentativesCount>1</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276172158</CasePartyID>
        <PartyTypeID>2</PartyTypeID>
        <ActivityStatusID>1</ActivityStatusID>
        <PartyAliasID>20</PartyAliasID>
        <PartyAliasName>בא כוח תובעים</PartyAliasName>
        <OrdinalNumber>1</OrdinalNumber>
        <LegalEntityID>418664</LegalEntityID>
        <CaseLegalEntityID>131807053</CaseLegalEntityID>
        <AuthenticationTypeID>4</AuthenticationTypeID>
        <AuthenticationTypeName>מ.ר.</AuthenticationTypeName>
        <LegalEntityNumber>42753</LegalEntityNumber>
        <IsMainPartyType>true</IsMainPartyType>
        <CaseDisplayIdentifier>23736-08-24</CaseDisplayIdentifier>
        <CaseTypeID>15</CaseTypeID>
        <CaseTypeName>תיק משפחה (תמ"ש)</CaseTypeName>
        <CaseName>לוינסון נ' לוינסון</CaseName>
        <FullAddress>קדושת אהרון 8\17 ירושלים </FullAddress>
        <EmailAddress>naftalinlaw@gmail.com</EmailAddress>
        <MotionID>0</MotionID>
        <CasePleaID>0</CasePleaID>
        <LinkedCaseID>0</LinkedCaseID>
        <PartyID>1</PartyID>
        <CasePartyCategoryID>2</CasePartyCategoryID>
        <LegalEntityAddressID>82680167</LegalEntityAddressID>
        <LegalEntityEmailAddressID>68023750</LegalEntityEmailAddressID>
        <PleaTypeID>4</PleaTypeID>
        <LawyerOfficeName>משרד עו"ד: שאול נפתלין</LawyerOfficeName>
        <LawyerOfficeID>459308</LawyerOfficeID>
        <GroupPartyAlias/>
        <IsConverted>false</IsConverted>
        <LegalEntityNameID>39648</LegalEntityNameID>
        <RepresentatedNamesOfAssistant/>
        <LegalEntityTypeID>4</LegalEntityTypeID>
        <IsVerdictExists>false</IsVerdictExists>
        <IsAsirAzir>false</IsAsirAzir>
        <MainAndSecSpec/>
        <IsPublicationProhibited>false</IsPublicationProhibited>
        <PublicationProhibitedFullName>שאול נפתלין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הרב מרדכי שיינין</FullName>
        <FirstName>הרב מרדכי</FirstName>
        <LastName>שיינין</LastName>
        <PartyPropertyName/>
        <AuthenticationTypeAndNumber>ת"ז </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276651625</CasePartyID>
        <PartyTypeID>4</PartyTypeID>
        <ActivityStatusID>1</ActivityStatusID>
        <PartyAliasID>62</PartyAliasID>
        <PartyAliasName>עד הגנה</PartyAliasName>
        <OrdinalNumber>1</OrdinalNumber>
        <LegalEntityID>82924809</LegalEntityID>
        <CaseLegalEntityID>131990020</CaseLegalEntityID>
        <AuthenticationTypeID>1</AuthenticationTypeID>
        <AuthenticationTypeName>ת"ז</AuthenticationTypeName>
        <IsMainPartyType>true</IsMainPartyType>
        <CaseDisplayIdentifier>23736-08-24</CaseDisplayIdentifier>
        <CaseTypeID>15</CaseTypeID>
        <CaseTypeName>תיק משפחה (תמ"ש)</CaseTypeName>
        <CaseName>לוינסון נ' לוינסון</CaseName>
        <FullAddress>חיי יצחק 21 ביתר עילית </FullAddress>
        <MotionID>0</MotionID>
        <CasePleaID>0</CasePleaID>
        <LinkedCaseID>0</LinkedCaseID>
        <PartyID>2</PartyID>
        <CasePartyCategoryID>2</CasePartyCategoryID>
        <LegalEntityAddressID>90871804</LegalEntityAddressID>
        <PleaTypeID>4</PleaTypeID>
        <GroupPartyAlias/>
        <IsConverted>false</IsConverted>
        <LegalEntityNameID>98112065</LegalEntityNameID>
        <RepresentatedNamesOfAssistant/>
        <LegalEntityTypeID>1</LegalEntityTypeID>
        <IsVerdictExists>false</IsVerdictExists>
        <IsAsirAzir>false</IsAsirAzir>
        <MainAndSecSpec/>
        <IsPublicationProhibited>false</IsPublicationProhibited>
        <PublicationProhibitedFullName>הרב מרדכי שיינין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אלישבע לוינסון</FullName>
        <FirstName>רחל אלישבע</FirstName>
        <LastName>לוינסון</LastName>
        <PartyPropertyName/>
        <AuthenticationTypeAndNumber>ת"ז 311989818</AuthenticationTypeAndNumber>
        <RepresentatedOrRepresentativesNames>אברהם אטיאס</RepresentatedOrRepresentativesNames>
        <RepresentatedOrRepresentativesCount>1</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276172159</CasePartyID>
        <PartyTypeID>1</PartyTypeID>
        <ActivityStatusID>1</ActivityStatusID>
        <PartyAliasID>2</PartyAliasID>
        <PartyAliasName>נתבע</PartyAliasName>
        <OrdinalNumber>1</OrdinalNumber>
        <LegalEntityID>82899435</LegalEntityID>
        <CaseLegalEntityID>131807054</CaseLegalEntityID>
        <AuthenticationTypeID>1</AuthenticationTypeID>
        <AuthenticationTypeName>ת"ז</AuthenticationTypeName>
        <LegalEntityNumber>311989818</LegalEntityNumber>
        <IsMainPartyType>true</IsMainPartyType>
        <CaseDisplayIdentifier>23736-08-24</CaseDisplayIdentifier>
        <CaseTypeID>15</CaseTypeID>
        <CaseTypeName>תיק משפחה (תמ"ש)</CaseTypeName>
        <CaseName>לוינסון נ' לוינסון</CaseName>
        <FullAddress>לשם 7 ערד </FullAddress>
        <MotionID>0</MotionID>
        <CasePleaID>0</CasePleaID>
        <FatherName>עקיבא</FatherName>
        <LinkedCaseID>0</LinkedCaseID>
        <PartyID>2</PartyID>
        <CasePartyCategoryID>2</CasePartyCategoryID>
        <LegalEntityAddressID>90818678</LegalEntityAddressID>
        <PleaTypeID>4</PleaTypeID>
        <GroupPartyAlias>נתבעים</GroupPartyAlias>
        <IsConverted>false</IsConverted>
        <LegalEntityRegisteredNameID>10850604</LegalEntityRegisteredNameID>
        <LegalEntityNameID>98046268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אלישבע לוינסון</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רב ישעיהו דוד רובין</FullName>
        <FirstName>רב ישעיהו דוד</FirstName>
        <LastName>רובין</LastName>
        <PartyPropertyName/>
        <AuthenticationTypeAndNumber>ת"ז </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276651767</CasePartyID>
        <PartyTypeID>4</PartyTypeID>
        <ActivityStatusID>1</ActivityStatusID>
        <PartyAliasID>62</PartyAliasID>
        <PartyAliasName>עד הגנה</PartyAliasName>
        <OrdinalNumber>2</OrdinalNumber>
        <LegalEntityID>82924816</LegalEntityID>
        <CaseLegalEntityID>131990062</CaseLegalEntityID>
        <AuthenticationTypeID>1</AuthenticationTypeID>
        <AuthenticationTypeName>ת"ז</AuthenticationTypeName>
        <IsMainPartyType>true</IsMainPartyType>
        <CaseDisplayIdentifier>23736-08-24</CaseDisplayIdentifier>
        <CaseTypeID>15</CaseTypeID>
        <CaseTypeName>תיק משפחה (תמ"ש)</CaseTypeName>
        <CaseName>לוינסון נ' לוינסון</CaseName>
        <FullAddress>יוזמן עי הנתבעת  .</FullAddress>
        <MotionID>0</MotionID>
        <CasePleaID>0</CasePleaID>
        <LinkedCaseID>0</LinkedCaseID>
        <PartyID>2</PartyID>
        <CasePartyCategoryID>2</CasePartyCategoryID>
        <LegalEntityAddressID>90871821</LegalEntityAddressID>
        <PleaTypeID>4</PleaTypeID>
        <GroupPartyAlias/>
        <IsConverted>false</IsConverted>
        <LegalEntityNameID>98112083</LegalEntityNameID>
        <RepresentatedNamesOfAssistant/>
        <LegalEntityTypeID>1</LegalEntityTypeID>
        <IsVerdictExists>false</IsVerdictExists>
        <IsAsirAzir>false</IsAsirAzir>
        <MainAndSecSpec/>
        <IsPublicationProhibited>false</IsPublicationProhibited>
        <PublicationProhibitedFullName>רב ישעיהו דוד רובין</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הרב יעקב אונגר</FullName>
        <FirstName>הרב יעקב</FirstName>
        <LastName>אונגר</LastName>
        <PartyPropertyName/>
        <AuthenticationTypeAndNumber>ת"ז </AuthenticationTypeAndNumber>
        <RepresentatedOrRepresentativesNames/>
        <RepresentatedOrRepresentativesCount>0</RepresentatedOrRepresentativesCount>
        <InvitedBy/>
        <CaseID>81860048</CaseID>
        <CaseJudicialPersonPresentationDS>
          <CaseJudicalPersonActive>
            <CaseID>81860048</CaseID>
            <JudicialPersonID>036029429@GOV.IL</JudicialPersonID>
            <JudicialPersonTypeID>1</JudicialPersonTypeID>
            <JudicialTypeID>1</JudicialTypeID>
            <IsChairman>false</IsChairman>
            <TreatmentStartDate>2024-08-11T10:11:18.087+03:00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276651846</CasePartyID>
        <PartyTypeID>4</PartyTypeID>
        <ActivityStatusID>1</ActivityStatusID>
        <PartyAliasID>101</PartyAliasID>
        <PartyAliasName>עד בית משפט</PartyAliasName>
        <OrdinalNumber>3</OrdinalNumber>
        <LegalEntityID>82924818</LegalEntityID>
        <CaseLegalEntityID>131990076</CaseLegalEntityID>
        <AuthenticationTypeID>1</AuthenticationTypeID>
        <AuthenticationTypeName>ת"ז</AuthenticationTypeName>
        <IsMainPartyType>true</IsMainPartyType>
        <CaseDisplayIdentifier>23736-08-24</CaseDisplayIdentifier>
        <CaseTypeID>15</CaseTypeID>
        <CaseTypeName>תיק משפחה (תמ"ש)</CaseTypeName>
        <CaseName>לוינסון נ' לוינסון</CaseName>
        <FullAddress>יוזמן עי הנתבעת  .</FullAddress>
        <MotionID>0</MotionID>
        <CasePleaID>0</CasePleaID>
        <LinkedCaseID>0</LinkedCaseID>
        <PartyID>2</PartyID>
        <CasePartyCategoryID>2</CasePartyCategoryID>
        <LegalEntityAddressID>90871826</LegalEntityAddressID>
        <PleaTypeID>4</PleaTypeID>
        <GroupPartyAlias/>
        <IsConverted>false</IsConverted>
        <LegalEntityNameID>98112089</LegalEntityNameID>
        <RepresentatedNamesOfAssistant/>
        <LegalEntityTypeID>1</LegalEntityTypeID>
        <IsVerdictExists>false</IsVerdictExists>
        <IsAsirAzir>false</IsAsirAzir>
        <MainAndSecSpec/>
        <IsPublicationProhibited>false</IsPublicationProhibited>
        <PublicationProhibitedFullName>הרב יעקב אונגר</PublicationProhibitedFullName>
      </CaseParties>
    </CasePartiesSelectionDS>
    <CaseName>לוינסון נ' לוינסון</CaseName>
    <CaseDisplayIdentifier>23736-08-24</CaseDisplayIdentifier>
    <CaseInterestID>139</CaseInterestID>
    <CaseTypeShortName>תמ"ש</CaseTypeShortName>
  </dt_DecisionCase>
  <dt_DecisionJudgePanel>
    <JudgeID>036029429@GOV.IL</JudgeID>
    <DisplayName>אריאל ממן</DisplayName>
    <RoleName>שופט</RoleName>
    <UserTitleName>שופט</UserTitleName>
  </dt_DecisionJudgePanel>
  <dt_LegalEntityDetails>
    <Fax>02-6500996</Fax>
    <Phone>02-5666911</Phone>
    <AddressDesc>לובי 2 קומה 3</AddressDesc>
    <PartyID>2</PartyID>
    <PartyTypeID>2</PartyTypeID>
    <DecisionID>0</DecisionID>
    <StreetName>בית הדפוס 11</StreetName>
    <ZipCode>95471</ZipCode>
    <CityName>ירושלים</CityName>
    <FullName>אברהם אטיאס</FullName>
    <Email>a.attias.adv@gmail.com</Email>
    <IsPublicationProhibited>false</IsPublicationProhibited>
  </dt_LegalEntityDetails>
  <dt_LegalEntityDetails>
    <Fax>08-9707979</Fax>
    <Phone>08-9709780</Phone>
    <AddressDesc>"בית יהונתן"קומה 5 קניון עזריאלי</AddressDesc>
    <PartyTypeID>5</PartyTypeID>
    <DecisionID>0</DecisionID>
    <StreetName>לב העיר 14</StreetName>
    <CityName>מודיעין-מכבים-רעות*</CityName>
    <FullName>ללי גרשנזון</FullName>
    <Email>lalidea@bezeqint.net</Email>
    <IsPublicationProhibited>false</IsPublicationProhibited>
  </dt_LegalEntityDetails>
  <dt_LegalEntityDetails>
    <Fax>02-5419644</Fax>
    <Phone>073-3928262</Phone>
    <AddressDesc>שכונת מעלות דפנה </AddressDesc>
    <PartyTypeID>3</PartyTypeID>
    <DecisionID>0</DecisionID>
    <AssistantRoleID>20</AssistantRoleID>
    <StreetName>מחל 7</StreetName>
    <ZipCode>97765</ZipCode>
    <CityName>ירושלים</CityName>
    <FullName> פרקליטות המדינה, המחלקה ליחסים בינלאומיים</FullName>
    <Email/>
    <IsPublicationProhibited>false</IsPublicationProhibited>
  </dt_LegalEntityDetails>
  <dt_LegalEntityDetails>
    <PartyID>1</PartyID>
    <PartyTypeID>1</PartyTypeID>
    <DecisionID>0</DecisionID>
    <StreetName>תלמוד בבלי 16</StreetName>
    <CityName>בית שמש</CityName>
    <FullName>מרדכי לוינסון</FullName>
    <IsPublicationProhibited>false</IsPublicationProhibited>
  </dt_LegalEntityDetails>
  <dt_LegalEntityDetails>
    <Fax>02-5389591</Fax>
    <Phone>02-5377707</Phone>
    <PartyID>1</PartyID>
    <PartyTypeID>2</PartyTypeID>
    <DecisionID>0</DecisionID>
    <StreetName>קדושת אהרון 8\17</StreetName>
    <ZipCode>9447808</ZipCode>
    <CityName>ירושלים</CityName>
    <FullName>שאול נפתלין</FullName>
    <Email>naftalinlaw@gmail.com</Email>
    <IsPublicationProhibited>false</IsPublicationProhibited>
  </dt_LegalEntityDetails>
  <dt_LegalEntityDetails>
    <PartyID>2</PartyID>
    <PartyTypeID>1</PartyTypeID>
    <DecisionID>0</DecisionID>
    <StreetName>לשם 7</StreetName>
    <CityName>ערד</CityName>
    <FullName>רחל אלישבע לוינסון</FullName>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אריאל ממן</CaseJudicalPerson>
  </dt_CaseJudicalPersonActive>
  <dt_Sitting>
    <PreviousMeetingDate>2024-10-08T10:00:00+03:00</PreviousMeetingDate>
    <PreviousSittingTypeID>2</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04F56D9D-93A4-40AA-A092-53637AD461E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7889</Words>
  <Characters>39445</Characters>
  <Application>Microsoft Office Word</Application>
  <DocSecurity>0</DocSecurity>
  <Lines>328</Lines>
  <Paragraphs>94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2024-10-29T06:59:00Z</dcterms:created>
  <dcterms:modified xsi:type="dcterms:W3CDTF">2024-10-29T06:59:00Z</dcterms:modified>
</cp:coreProperties>
</file>